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8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firstLine="224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sdt>
        <w:sdtPr>
          <w:alias w:val="1"/>
          <w15:appearance w15:val="hidden"/>
          <w:id w:val="1"/>
          <w:lock w:val="sdtContentLocked"/>
          <w:tag w:val="项目名称"/>
          <w:rPr>
            <w:rFonts w:ascii="宋体" w:hAnsi="宋体" w:cs="宋体"/>
            <w:b/>
            <w:color w:val="000000"/>
            <w:sz w:val="32"/>
          </w:rPr>
        </w:sdtPr>
        <w:sdtContent>
          <w:r>
            <w:rPr>
              <w:rFonts w:ascii="经典仿宋简" w:hAnsi="经典仿宋简" w:eastAsia="经典仿宋简" w:cs="经典仿宋简"/>
              <w:sz w:val="22"/>
            </w:rPr>
            <w:t xml:space="preserve">常州市新北区三井人民医院智慧化预防接种门诊建设项目</w:t>
          </w:r>
        </w:sdtContent>
      </w:sdt>
      <w:r/>
      <w:r/>
    </w:p>
    <w:p>
      <w:pPr>
        <w:ind w:left="2100" w:firstLine="161"/>
        <w:pBdr>
          <w:top w:val="none" w:color="000000" w:sz="0" w:space="0"/>
          <w:left w:val="none" w:color="000000" w:sz="0" w:space="0"/>
          <w:bottom w:val="none" w:color="000000" w:sz="0" w:space="0"/>
          <w:right w:val="none" w:color="000000" w:sz="0" w:space="0"/>
        </w:pBdr>
      </w:pPr>
      <w:r>
        <w:rPr>
          <w:rFonts w:ascii="宋体" w:hAnsi="宋体" w:cs="宋体"/>
          <w:b/>
          <w:color w:val="ff0000"/>
          <w:sz w:val="32"/>
        </w:rPr>
        <w:t xml:space="preserve">项目编号：</w:t>
      </w:r>
      <w:r>
        <w:rPr>
          <w:rFonts w:eastAsia="Times New Roman"/>
          <w:color w:val="ff0000"/>
        </w:rPr>
        <w:t xml:space="preserve"> </w:t>
      </w:r>
      <w:sdt>
        <w:sdtPr>
          <w:alias w:val="2"/>
          <w15:appearance w15:val="hidden"/>
          <w:id w:val="2"/>
          <w:lock w:val="sdtContentLocked"/>
          <w:tag w:val="项目编号"/>
          <w:rPr>
            <w:rFonts w:eastAsia="Times New Roman"/>
            <w:color w:val="ff0000"/>
          </w:rPr>
        </w:sdtPr>
        <w:sdtContent>
          <w:r>
            <w:rPr>
              <w:rFonts w:ascii="经典仿宋简" w:hAnsi="经典仿宋简" w:eastAsia="经典仿宋简" w:cs="经典仿宋简"/>
              <w:sz w:val="22"/>
            </w:rPr>
            <w:t xml:space="preserve">JSZC-320400-JZCG-G2025-0445</w:t>
          </w:r>
        </w:sdtContent>
      </w:sdt>
      <w:r>
        <w:rPr>
          <w:rFonts w:eastAsia="Times New Roman"/>
          <w:color w:val="ff0000"/>
        </w:rPr>
        <w:t xml:space="preserve">  </w:t>
      </w:r>
      <w:r>
        <w:rPr>
          <w:rFonts w:eastAsia="Times New Roman"/>
          <w:b/>
          <w:color w:val="ff0000"/>
          <w:sz w:val="30"/>
        </w:rPr>
        <w:t xml:space="preserve">   </w:t>
      </w:r>
      <w:r>
        <w:rPr>
          <w:rFonts w:eastAsia="Times New Roman"/>
          <w:color w:val="ff0000"/>
        </w:rPr>
        <w:t xml:space="preserve">  </w:t>
      </w:r>
      <w:r>
        <w:rPr>
          <w:rFonts w:eastAsia="Times New Roman"/>
          <w:b/>
          <w:color w:val="ff0000"/>
          <w:sz w:val="30"/>
        </w:rPr>
        <w:t xml:space="preserve"> </w:t>
      </w:r>
      <w:r/>
    </w:p>
    <w:p>
      <w:pPr>
        <w:ind w:left="2100"/>
        <w:pBdr>
          <w:top w:val="none" w:color="000000" w:sz="0" w:space="0"/>
          <w:left w:val="none" w:color="000000" w:sz="0" w:space="0"/>
          <w:bottom w:val="none" w:color="000000" w:sz="0" w:space="0"/>
          <w:right w:val="none" w:color="000000" w:sz="0" w:space="0"/>
        </w:pBdr>
      </w:pPr>
      <w:r>
        <w:rPr>
          <w:rFonts w:ascii="宋体" w:hAnsi="宋体" w:cs="宋体"/>
          <w:b/>
          <w:color w:val="ff0000"/>
          <w:sz w:val="30"/>
        </w:rPr>
        <w:t xml:space="preserve">（全流程电子化</w:t>
      </w:r>
      <w:r>
        <w:rPr>
          <w:rFonts w:eastAsia="Times New Roman"/>
          <w:b/>
          <w:color w:val="ff0000"/>
          <w:sz w:val="30"/>
        </w:rPr>
        <w:t xml:space="preserve">-</w:t>
      </w:r>
      <w:r>
        <w:rPr>
          <w:rFonts w:ascii="宋体" w:hAnsi="宋体" w:cs="宋体"/>
          <w:b/>
          <w:color w:val="ff0000"/>
          <w:sz w:val="30"/>
        </w:rPr>
        <w:t xml:space="preserve">服务类项目，适用苏采云系统，专门面向中小企业）</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常州市政府采购中心</w:t>
      </w:r>
      <w:r/>
    </w:p>
    <w:p>
      <w:pPr>
        <w:jc w:val="center"/>
        <w:spacing w:before="120" w:after="120" w:line="360" w:lineRule="atLeast"/>
        <w:pBdr>
          <w:top w:val="none" w:color="000000" w:sz="0" w:space="0"/>
          <w:left w:val="none" w:color="000000" w:sz="0" w:space="0"/>
          <w:bottom w:val="none" w:color="000000" w:sz="0" w:space="0"/>
          <w:right w:val="none" w:color="000000" w:sz="0" w:space="0"/>
        </w:pBdr>
      </w:pPr>
      <w:r/>
      <w:sdt>
        <w:sdtPr>
          <w:alias w:val="3"/>
          <w15:appearance w15:val="hidden"/>
          <w:id w:val="3"/>
          <w:lock w:val="unlocked"/>
          <w:tag w:val="系统当前时间"/>
          <w:rPr>
            <w:rFonts w:ascii="宋体" w:hAnsi="宋体" w:cs="宋体"/>
            <w:color w:val="000000"/>
            <w:sz w:val="24"/>
          </w:rPr>
        </w:sdtPr>
        <w:sdtContent>
          <w:r>
            <w:rPr>
              <w:rFonts w:ascii="经典仿宋简" w:hAnsi="经典仿宋简" w:eastAsia="经典仿宋简" w:cs="经典仿宋简"/>
              <w:sz w:val="22"/>
            </w:rPr>
            <w:t xml:space="preserve">2025年11月20日</w:t>
          </w:r>
        </w:sdtContent>
      </w:sdt>
      <w:r>
        <w:rPr>
          <w:rFonts w:ascii="宋体" w:hAnsi="宋体" w:cs="宋体"/>
          <w:color w:val="000000"/>
          <w:sz w:val="24"/>
        </w:rPr>
        <w:t xml:space="preserve"> </w:t>
      </w:r>
      <w:r/>
    </w:p>
    <w:p>
      <w:pP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jc w:val="center"/>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黑体" w:hAnsi="黑体" w:eastAsia="黑体" w:cs="黑体"/>
          <w:b/>
          <w:color w:val="000000"/>
          <w:sz w:val="44"/>
        </w:rPr>
        <w:t xml:space="preserve">总</w:t>
      </w:r>
      <w:r>
        <w:rPr>
          <w:rFonts w:ascii="Calibri" w:hAnsi="Calibri" w:eastAsia="Calibri" w:cs="Calibri"/>
          <w:b/>
          <w:color w:val="000000"/>
          <w:sz w:val="44"/>
        </w:rPr>
        <w:t xml:space="preserve"> </w:t>
      </w:r>
      <w:r>
        <w:rPr>
          <w:rFonts w:ascii="黑体" w:hAnsi="黑体" w:eastAsia="黑体" w:cs="黑体"/>
          <w:b/>
          <w:color w:val="000000"/>
          <w:sz w:val="44"/>
        </w:rPr>
        <w:t xml:space="preserve"> 目</w:t>
      </w:r>
      <w:r>
        <w:rPr>
          <w:rFonts w:ascii="Calibri" w:hAnsi="Calibri" w:eastAsia="Calibri" w:cs="Calibri"/>
          <w:b/>
          <w:color w:val="000000"/>
          <w:sz w:val="44"/>
        </w:rPr>
        <w:t xml:space="preserve"> </w:t>
      </w:r>
      <w:r>
        <w:rPr>
          <w:rFonts w:ascii="黑体" w:hAnsi="黑体" w:eastAsia="黑体" w:cs="黑体"/>
          <w:b/>
          <w:color w:val="000000"/>
          <w:sz w:val="44"/>
        </w:rPr>
        <w:t xml:space="preserve"> 录</w:t>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ascii="Calibri" w:hAnsi="Calibri" w:eastAsia="Calibri" w:cs="Calibri"/>
          <w:color w:val="000000"/>
          <w:sz w:val="36"/>
        </w:rPr>
        <w:t xml:space="preserve"> </w:t>
      </w:r>
      <w:r>
        <w:rPr>
          <w:rFonts w:ascii="黑体" w:hAnsi="黑体" w:eastAsia="黑体" w:cs="黑体"/>
          <w:color w:val="000000"/>
          <w:sz w:val="36"/>
        </w:rPr>
        <w:t xml:space="preserve"> </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4"/>
        </w:numPr>
        <w:tabs>
          <w:tab w:val="left" w:pos="1440" w:leader="none"/>
        </w:tabs>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第一章</w:t>
      </w:r>
      <w:r>
        <w:rPr>
          <w:rFonts w:ascii="Calibri" w:hAnsi="Calibri" w:eastAsia="Calibri" w:cs="Calibri"/>
          <w:b/>
          <w:color w:val="000000"/>
          <w:sz w:val="44"/>
        </w:rPr>
        <w:t xml:space="preserve"> </w:t>
      </w:r>
      <w:r>
        <w:rPr>
          <w:rFonts w:ascii="黑体" w:hAnsi="黑体" w:eastAsia="黑体" w:cs="黑体"/>
          <w:b/>
          <w:color w:val="000000"/>
          <w:sz w:val="44"/>
        </w:rPr>
        <w:t xml:space="preserve"> 投标邀请</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sdt>
        <w:sdtPr>
          <w:alias w:val="4"/>
          <w15:appearance w15:val="hidden"/>
          <w:id w:val="4"/>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常州市新北区三井人民医院</w:t>
          </w:r>
        </w:sdtContent>
      </w:sdt>
      <w:r>
        <w:rPr>
          <w:rFonts w:ascii="宋体" w:hAnsi="宋体" w:cs="宋体"/>
          <w:color w:val="000000"/>
          <w:sz w:val="24"/>
        </w:rPr>
        <w:t xml:space="preserve">的委托，常州市政府采购中心就[</w:t>
      </w:r>
      <w:sdt>
        <w:sdtPr>
          <w:alias w:val="5"/>
          <w15:appearance w15:val="hidden"/>
          <w:id w:val="5"/>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常州市新北区三井人民医院智慧化预防接种门诊建设项目</w:t>
          </w:r>
        </w:sdtContent>
      </w:sdt>
      <w:r>
        <w:rPr>
          <w:rFonts w:ascii="宋体" w:hAnsi="宋体" w:cs="宋体"/>
          <w:color w:val="000000"/>
          <w:sz w:val="24"/>
        </w:rPr>
        <w:t xml:space="preserve">][</w:t>
      </w:r>
      <w:sdt>
        <w:sdtPr>
          <w:alias w:val="6"/>
          <w15:appearance w15:val="hidden"/>
          <w:id w:val="6"/>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JSZC-320400-JZCG-G2025-0445</w:t>
          </w:r>
        </w:sdtContent>
      </w:sdt>
      <w:r>
        <w:rPr>
          <w:rFonts w:ascii="宋体" w:hAnsi="宋体" w:cs="宋体"/>
          <w:color w:val="000000"/>
          <w:sz w:val="24"/>
        </w:rPr>
        <w:t xml:space="preserve">]项目进行公开招标采购，欢迎符合条件的供应商投标。</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sdt>
        <w:sdtPr>
          <w:alias w:val="7"/>
          <w15:appearance w15:val="hidden"/>
          <w:id w:val="7"/>
          <w:lock w:val="sdtContentLocked"/>
          <w:tag w:val="项目编号"/>
          <w:rPr>
            <w:rFonts w:ascii="宋体" w:hAnsi="宋体" w:cs="宋体"/>
            <w:color w:val="000000"/>
            <w:sz w:val="24"/>
          </w:rPr>
        </w:sdtPr>
        <w:sdtContent>
          <w:r>
            <w:rPr>
              <w:rFonts w:ascii="经典仿宋简" w:hAnsi="经典仿宋简" w:eastAsia="经典仿宋简" w:cs="经典仿宋简"/>
              <w:sz w:val="22"/>
            </w:rPr>
            <w:t xml:space="preserve">JSZC-320400-JZCG-G2025-0445</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sdt>
        <w:sdtPr>
          <w:alias w:val="8"/>
          <w15:appearance w15:val="hidden"/>
          <w:id w:val="8"/>
          <w:lock w:val="sdtContentLocked"/>
          <w:tag w:val="项目名称"/>
          <w:rPr>
            <w:rFonts w:ascii="宋体" w:hAnsi="宋体" w:cs="宋体"/>
            <w:color w:val="000000"/>
            <w:sz w:val="24"/>
          </w:rPr>
        </w:sdtPr>
        <w:sdtContent>
          <w:r>
            <w:rPr>
              <w:rFonts w:ascii="经典仿宋简" w:hAnsi="经典仿宋简" w:eastAsia="经典仿宋简" w:cs="经典仿宋简"/>
              <w:sz w:val="22"/>
            </w:rPr>
            <w:t xml:space="preserve">常州市新北区三井人民医院智慧化预防接种门诊建设项目</w:t>
          </w:r>
        </w:sdtContent>
      </w:sd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sdt>
        <w:sdtPr>
          <w:alias w:val="9"/>
          <w15:appearance w15:val="hidden"/>
          <w:id w:val="9"/>
          <w:lock w:val="sdtContentLocked"/>
          <w:tag w:val="采购预算"/>
          <w:rPr>
            <w:rFonts w:ascii="宋体" w:hAnsi="宋体" w:cs="宋体"/>
            <w:color w:val="000000"/>
            <w:sz w:val="24"/>
          </w:rPr>
        </w:sdtPr>
        <w:sdtContent>
          <w:r>
            <w:rPr>
              <w:rFonts w:ascii="经典仿宋简" w:hAnsi="经典仿宋简" w:eastAsia="经典仿宋简" w:cs="经典仿宋简"/>
              <w:sz w:val="22"/>
            </w:rPr>
            <w:t xml:space="preserve">480000</w:t>
          </w:r>
        </w:sdtContent>
      </w:sdt>
      <w:r>
        <w:rPr>
          <w:rFonts w:ascii="宋体" w:hAnsi="宋体" w:cs="宋体"/>
          <w:color w:val="000000"/>
          <w:sz w:val="24"/>
          <w:highlight w:val="yellow"/>
        </w:rPr>
        <w:t xml:space="preserve">元</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4.本项目最高限价为48万元。</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w:t>
      </w:r>
      <w:r>
        <w:rPr>
          <w:rFonts w:hint="eastAsia" w:ascii="宋体" w:hAnsi="宋体" w:cs="宋体"/>
          <w:color w:val="000000"/>
          <w:sz w:val="24"/>
        </w:rPr>
        <w:t xml:space="preserve">本次采购项目的建设内容主要包括：在数字化门诊基础上升级信息系统及增加智能化设备，包含疫苗智能电子标签系统、疫苗智能分类储存小冰箱信息系统、门诊疫苗智能分发系统、预防接种工作人员信息展示系统、门诊指标大数据分析系统、预防接种自助服务系统、数字化预防接种门诊候诊显示系统、HIS系统数据对接、犬伤电子核签系统、犬伤接种留观系统、视频监控迁移、智慧化门诊信息化改造升级。</w:t>
      </w:r>
      <w:r>
        <w:rPr>
          <w:rFonts w:ascii="宋体" w:hAnsi="宋体" w:cs="宋体"/>
          <w:color w:val="000000"/>
          <w:sz w:val="24"/>
        </w:rPr>
        <w:t xml:space="preserve">（详细内容见本招标文件第四章）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合同签订后，具有实施条件后两个月内实现系统正式上线运行。</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1.满足《中华人民共和国政府采购法》第二十二条规定，并提供投标人资格声明函。</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3.落实政府采购政策需满足的资格要求：</w:t>
      </w:r>
      <w:r>
        <w:rPr>
          <w:rFonts w:ascii="宋体" w:hAnsi="宋体" w:cs="宋体"/>
          <w:b/>
          <w:color w:val="000000" w:themeColor="text1"/>
          <w:sz w:val="24"/>
        </w:rPr>
        <w:t xml:space="preserve">专门面向中小企业采购。</w:t>
      </w:r>
      <w:r>
        <w:rPr>
          <w:rFonts w:ascii="宋体" w:hAnsi="宋体" w:cs="宋体"/>
          <w:color w:val="000000" w:themeColor="text1"/>
          <w:sz w:val="24"/>
        </w:rPr>
        <w:t xml:space="preserve">即：提供的服务全部由符合政策要求的中小企业承接。说明：中小企业包含中型、小型、微型企业，残疾人福利性单位和监狱企业视同小微企业</w:t>
      </w:r>
      <w:r>
        <w:rPr>
          <w:rFonts w:ascii="宋体" w:hAnsi="宋体" w:cs="宋体"/>
          <w:color w:val="000000" w:themeColor="text1"/>
          <w:sz w:val="24"/>
        </w:rPr>
        <w:t xml:space="preserve">。</w:t>
      </w:r>
      <w:r>
        <w:rPr>
          <w:color w:val="000000" w:themeColor="text1"/>
        </w:rPr>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rFonts w:ascii="宋体" w:hAnsi="宋体" w:cs="宋体"/>
          <w:color w:val="000000" w:themeColor="text1"/>
          <w:sz w:val="24"/>
        </w:rPr>
        <w:t xml:space="preserve">.</w:t>
      </w:r>
      <w:r>
        <w:rPr>
          <w:rFonts w:hint="eastAsia" w:ascii="宋体" w:hAnsi="宋体"/>
          <w:color w:val="000000" w:themeColor="text1"/>
          <w:sz w:val="24"/>
          <w:szCs w:val="24"/>
        </w:rPr>
        <w:t xml:space="preserve">本项目</w:t>
      </w:r>
      <w:r>
        <w:rPr>
          <w:rFonts w:hint="eastAsia" w:ascii="宋体" w:hAnsi="宋体"/>
          <w:color w:val="000000" w:themeColor="text1"/>
          <w:sz w:val="24"/>
          <w:szCs w:val="24"/>
          <w:u w:val="single"/>
        </w:rPr>
        <w:t xml:space="preserve">不接受联合体</w:t>
      </w:r>
      <w:r>
        <w:rPr>
          <w:rFonts w:hint="eastAsia" w:ascii="宋体" w:hAnsi="宋体"/>
          <w:sz w:val="24"/>
          <w:szCs w:val="24"/>
        </w:rPr>
        <w:t xml:space="preserve">投标</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rPr>
          <w:rFonts w:hint="eastAsia"/>
        </w:rPr>
        <w:t xml:space="preserve">：</w:t>
      </w:r>
      <w:r>
        <w:rPr>
          <w:rFonts w:hint="eastAsia"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1.时间：详见招标文件公告。</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2.方式：在“江苏政府采购网”、“常州市政府采购网”自行免费下载招标文件。</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四、投标文件提交</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1.时间：详见招标公告。</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2.地点：苏采云政府采购一体化平台</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招标公告及招标文件公告期限为自本公告发布之日起5个工作日。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sdt>
        <w:sdtPr>
          <w:alias w:val="12"/>
          <w15:appearance w15:val="hidden"/>
          <w:id w:val="12"/>
          <w:lock w:val="sdtContentLocked"/>
          <w:tag w:val="采购单位名称"/>
          <w:rPr>
            <w:rFonts w:ascii="宋体" w:hAnsi="宋体" w:cs="宋体"/>
            <w:color w:val="000000"/>
            <w:sz w:val="24"/>
          </w:rPr>
        </w:sdtPr>
        <w:sdtContent>
          <w:r>
            <w:rPr>
              <w:rFonts w:ascii="经典仿宋简" w:hAnsi="经典仿宋简" w:eastAsia="经典仿宋简" w:cs="经典仿宋简"/>
              <w:sz w:val="22"/>
            </w:rPr>
            <w:t xml:space="preserve">常州市新北区三井人民医院</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sdt>
        <w:sdtPr>
          <w:alias w:val="13"/>
          <w15:appearance w15:val="hidden"/>
          <w:id w:val="13"/>
          <w:lock w:val="sdtContentLocked"/>
          <w:tag w:val="采购单位地址"/>
          <w:rPr>
            <w:rFonts w:ascii="宋体" w:hAnsi="宋体" w:cs="宋体"/>
            <w:color w:val="000000"/>
            <w:sz w:val="24"/>
          </w:rPr>
        </w:sdtPr>
        <w:sdtContent>
          <w:r>
            <w:rPr>
              <w:rFonts w:ascii="经典仿宋简" w:hAnsi="经典仿宋简" w:eastAsia="经典仿宋简" w:cs="经典仿宋简"/>
              <w:sz w:val="22"/>
            </w:rPr>
            <w:t xml:space="preserve">常州市新北区太湖中路1号</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sdt>
        <w:sdtPr>
          <w:alias w:val="18"/>
          <w15:appearance w15:val="hidden"/>
          <w:id w:val="18"/>
          <w:lock w:val="sdtContentLocked"/>
          <w:tag w:val="采购人联系人"/>
          <w:rPr>
            <w:rFonts w:ascii="宋体" w:hAnsi="宋体" w:cs="宋体"/>
            <w:color w:val="000000"/>
            <w:sz w:val="24"/>
          </w:rPr>
        </w:sdtPr>
        <w:sdtContent>
          <w:r>
            <w:rPr>
              <w:rFonts w:ascii="经典仿宋简" w:hAnsi="经典仿宋简" w:eastAsia="经典仿宋简" w:cs="经典仿宋简"/>
              <w:sz w:val="22"/>
            </w:rPr>
            <w:t xml:space="preserve">王小红</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sdt>
        <w:sdtPr>
          <w:alias w:val="19"/>
          <w15:appearance w15:val="hidden"/>
          <w:id w:val="19"/>
          <w:lock w:val="unlocked"/>
          <w:tag w:val="采购人联系电话"/>
          <w:rPr>
            <w:rFonts w:ascii="宋体" w:hAnsi="宋体" w:cs="宋体"/>
            <w:color w:val="000000"/>
            <w:sz w:val="24"/>
          </w:rPr>
        </w:sdtPr>
        <w:sdtContent>
          <w:r>
            <w:rPr>
              <w:rFonts w:ascii="经典仿宋简" w:hAnsi="经典仿宋简" w:eastAsia="经典仿宋简" w:cs="经典仿宋简"/>
              <w:sz w:val="22"/>
            </w:rPr>
            <w:t xml:space="preserve">:0519-81168627</w:t>
          </w:r>
        </w:sdtContent>
      </w:sdt>
      <w:r/>
      <w:r/>
    </w:p>
    <w:p>
      <w:pPr>
        <w:ind w:left="1079" w:hanging="3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2.常州市政府采购中心信息</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 </w:t>
      </w:r>
      <w:sdt>
        <w:sdtPr>
          <w:alias w:val="16"/>
          <w15:appearance w15:val="hidden"/>
          <w:id w:val="16"/>
          <w:lock w:val="sdtContentLocked"/>
          <w:tag w:val="项目联系人"/>
          <w:rPr>
            <w:rFonts w:ascii="宋体" w:hAnsi="宋体" w:cs="宋体"/>
            <w:color w:val="000000"/>
            <w:sz w:val="24"/>
          </w:rPr>
        </w:sdtPr>
        <w:sdtContent>
          <w:r>
            <w:rPr>
              <w:rFonts w:ascii="经典仿宋简" w:hAnsi="经典仿宋简" w:eastAsia="经典仿宋简" w:cs="经典仿宋简"/>
              <w:sz w:val="22"/>
            </w:rPr>
            <w:t xml:space="preserve">马樱</w:t>
          </w:r>
        </w:sdtContent>
      </w:sdt>
      <w:r>
        <w:rPr>
          <w:rFonts w:ascii="宋体" w:hAnsi="宋体" w:cs="宋体"/>
          <w:color w:val="000000"/>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sdt>
        <w:sdtPr>
          <w:alias w:val="17"/>
          <w15:appearance w15:val="hidden"/>
          <w:id w:val="17"/>
          <w:lock w:val="sdtContentLocked"/>
          <w:tag w:val="代理机构经办人联系电话"/>
          <w:rPr>
            <w:rFonts w:ascii="宋体" w:hAnsi="宋体" w:cs="宋体"/>
            <w:color w:val="000000"/>
            <w:sz w:val="24"/>
          </w:rPr>
        </w:sdtPr>
        <w:sdtContent>
          <w:r>
            <w:rPr>
              <w:rFonts w:ascii="经典仿宋简" w:hAnsi="经典仿宋简" w:eastAsia="经典仿宋简" w:cs="经典仿宋简"/>
              <w:sz w:val="22"/>
            </w:rPr>
            <w:t xml:space="preserve">0519-85588166</w:t>
          </w:r>
        </w:sdtContent>
      </w:sd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1. 根据省财政厅《关于更</w:t>
      </w:r>
      <w:r>
        <w:rPr>
          <w:rFonts w:ascii="宋体" w:hAnsi="宋体" w:cs="宋体"/>
          <w:color w:val="ff0000"/>
          <w:sz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有关本次招标的事项若存在变动或修改，敬请及时关注常州市政府采购中心在“江苏政府采购网” 、“常州市政府采购网”发布的更正公告。</w:t>
      </w:r>
      <w:r/>
    </w:p>
    <w:p>
      <w:pPr>
        <w:ind w:firstLine="480"/>
        <w:spacing w:line="558"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2429"/>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w:t>
      </w:r>
      <w:r>
        <w:rPr>
          <w:rFonts w:ascii="Calibri" w:hAnsi="Calibri" w:eastAsia="Calibri" w:cs="Calibri"/>
          <w:b/>
          <w:color w:val="000000"/>
          <w:sz w:val="44"/>
        </w:rPr>
        <w:t xml:space="preserve"> </w:t>
      </w:r>
      <w:r>
        <w:rPr>
          <w:rFonts w:ascii="黑体" w:hAnsi="黑体" w:eastAsia="黑体" w:cs="黑体"/>
          <w:b/>
          <w:color w:val="000000"/>
          <w:sz w:val="44"/>
        </w:rPr>
        <w:t xml:space="preserve"> 投标人须知</w:t>
      </w:r>
      <w:r/>
    </w:p>
    <w:p>
      <w:pPr>
        <w:ind w:firstLine="498"/>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w:t>
      </w:r>
      <w:r>
        <w:rPr>
          <w:rFonts w:ascii="黑体" w:hAnsi="黑体" w:eastAsia="黑体" w:cs="黑体"/>
          <w:b/>
          <w:color w:val="000000"/>
          <w:sz w:val="28"/>
        </w:rPr>
        <w:t xml:space="preserve">、招标方式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w:t>
      </w:r>
      <w:r>
        <w:rPr>
          <w:rFonts w:ascii="黑体" w:hAnsi="黑体" w:eastAsia="黑体" w:cs="黑体"/>
          <w:b/>
          <w:color w:val="000000"/>
          <w:sz w:val="28"/>
        </w:rPr>
        <w:t xml:space="preserve">、合格的投标人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3</w:t>
      </w:r>
      <w:r>
        <w:rPr>
          <w:rFonts w:ascii="黑体" w:hAnsi="黑体" w:eastAsia="黑体" w:cs="黑体"/>
          <w:b/>
          <w:color w:val="000000"/>
          <w:sz w:val="28"/>
        </w:rPr>
        <w:t xml:space="preserve">、适用法律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4</w:t>
      </w:r>
      <w:r>
        <w:rPr>
          <w:rFonts w:ascii="黑体" w:hAnsi="黑体" w:eastAsia="黑体" w:cs="黑体"/>
          <w:b/>
          <w:color w:val="000000"/>
          <w:sz w:val="28"/>
        </w:rPr>
        <w:t xml:space="preserve">、投标费用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投标人应自行承担所有与参加投标有关的费用，无论投标过程中的做法和结果如何，常州市政府采购中心（以下简称采购中心）在任何情况下均无义务和责任承担这些费用。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4.2本次招标采购中心和采购人不收取标书工本费与中标服务费。</w:t>
      </w:r>
      <w:r/>
    </w:p>
    <w:p>
      <w:pPr>
        <w:ind w:firstLine="60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5</w:t>
      </w:r>
      <w:r>
        <w:rPr>
          <w:rFonts w:ascii="黑体" w:hAnsi="黑体" w:eastAsia="黑体" w:cs="黑体"/>
          <w:b/>
          <w:color w:val="000000"/>
          <w:sz w:val="30"/>
        </w:rPr>
        <w:t xml:space="preserve">、</w:t>
      </w:r>
      <w:r>
        <w:rPr>
          <w:rFonts w:ascii="黑体" w:hAnsi="黑体" w:eastAsia="黑体" w:cs="黑体"/>
          <w:b/>
          <w:color w:val="000000"/>
          <w:sz w:val="28"/>
        </w:rPr>
        <w:t xml:space="preserve">招标文件的约束力</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6</w:t>
      </w:r>
      <w:r>
        <w:rPr>
          <w:rFonts w:ascii="黑体" w:hAnsi="黑体" w:eastAsia="黑体" w:cs="黑体"/>
          <w:b/>
          <w:color w:val="000000"/>
          <w:sz w:val="28"/>
        </w:rPr>
        <w:t xml:space="preserve">、招标文件构成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请仔细检查招标文件是否齐全，如有缺漏请立即与采购中心联系解决。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7</w:t>
      </w:r>
      <w:r>
        <w:rPr>
          <w:rFonts w:ascii="黑体" w:hAnsi="黑体" w:eastAsia="黑体" w:cs="黑体"/>
          <w:b/>
          <w:color w:val="000000"/>
          <w:sz w:val="28"/>
        </w:rPr>
        <w:t xml:space="preserve">、招标文件的澄清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任何要求对招标文件进行澄清的投标人，应在投标截止期</w:t>
      </w:r>
      <w:r>
        <w:rPr>
          <w:rFonts w:ascii="宋体" w:hAnsi="宋体" w:cs="宋体"/>
          <w:b/>
          <w:color w:val="000000"/>
          <w:sz w:val="24"/>
        </w:rPr>
        <w:t xml:space="preserve">十日</w:t>
      </w:r>
      <w:r>
        <w:rPr>
          <w:rFonts w:ascii="宋体" w:hAnsi="宋体" w:cs="宋体"/>
          <w:color w:val="000000"/>
          <w:sz w:val="24"/>
        </w:rPr>
        <w:t xml:space="preserve">前按招标公告中的通讯地址，以书面形式通知采购中心。</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8</w:t>
      </w:r>
      <w:r>
        <w:rPr>
          <w:rFonts w:ascii="黑体" w:hAnsi="黑体" w:eastAsia="黑体" w:cs="黑体"/>
          <w:b/>
          <w:color w:val="000000"/>
          <w:sz w:val="28"/>
        </w:rPr>
        <w:t xml:space="preserve">、招标文件的修改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在投标截止时间前，采购中心可以对招标文件进行修改。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采购中心有权按照法定的要求推迟投标截止日期和开标日期。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招标文件的修改将在江苏政府采购网、常州市政府采购网公布，补充文件将作为招标文件的组成部分，并对投标人具有约束力。</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9</w:t>
      </w:r>
      <w:r>
        <w:rPr>
          <w:rFonts w:ascii="黑体" w:hAnsi="黑体" w:eastAsia="黑体" w:cs="黑体"/>
          <w:b/>
          <w:color w:val="000000"/>
          <w:sz w:val="28"/>
        </w:rPr>
        <w:t xml:space="preserve">、投标文件的语言及度量衡单位</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投标人提交的投标文件以及投标人与采购中心就有关投标的所有来往通知、函件和文件均应使用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 除技术性能另有规定外，投标文件所使用的度量衡单位，均须采用国家法定计量单位。</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10</w:t>
      </w:r>
      <w:r>
        <w:rPr>
          <w:rFonts w:ascii="黑体" w:hAnsi="黑体" w:eastAsia="黑体" w:cs="黑体"/>
          <w:b/>
          <w:color w:val="000000"/>
          <w:sz w:val="28"/>
        </w:rPr>
        <w:t xml:space="preserve">、投标文件构成</w:t>
      </w:r>
      <w:r/>
    </w:p>
    <w:p>
      <w:pPr>
        <w:ind w:firstLine="480"/>
        <w:tabs>
          <w:tab w:val="left" w:pos="1080" w:leader="none"/>
          <w:tab w:val="left" w:pos="1589" w:leader="none"/>
          <w:tab w:val="left" w:pos="2014"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10.1本项目如划分采购包，投标人可以对本项目的其中一个采购包进行投标，也可同时对多个采购包进行投标。</w:t>
      </w:r>
      <w:r>
        <w:rPr>
          <w:rFonts w:ascii="宋体" w:hAnsi="宋体" w:cs="宋体"/>
          <w:i/>
          <w:color w:val="000000"/>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10.3如标书制作工具中格式和内容与“江苏政府采购网” 、“常州市政府采购网”发布的招标文件不一致，请以“江苏政府采购网” 、“常州市政府采购网”发布的招标文件为准。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11</w:t>
      </w:r>
      <w:r>
        <w:rPr>
          <w:rFonts w:ascii="黑体" w:hAnsi="黑体" w:eastAsia="黑体" w:cs="黑体"/>
          <w:b/>
          <w:color w:val="000000"/>
          <w:sz w:val="28"/>
        </w:rPr>
        <w:t xml:space="preserve">、证明投标人及投标标的符合招标文件规定的文件</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11.1 投标人应按照法律、法规、规章和规范性文件以及招标文件要求提交证明文件，证明其及投标标的符合招标文件规定。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12</w:t>
      </w:r>
      <w:r>
        <w:rPr>
          <w:rFonts w:ascii="黑体" w:hAnsi="黑体" w:eastAsia="黑体" w:cs="黑体"/>
          <w:b/>
          <w:color w:val="000000"/>
          <w:sz w:val="28"/>
        </w:rPr>
        <w:t xml:space="preserve">、投标分项报价表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投标人应按照招标文件规定格式填报投标分项报价表。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13</w:t>
      </w:r>
      <w:r>
        <w:rPr>
          <w:rFonts w:ascii="黑体" w:hAnsi="黑体" w:eastAsia="黑体" w:cs="黑体"/>
          <w:b/>
          <w:color w:val="000000"/>
          <w:sz w:val="28"/>
        </w:rPr>
        <w:t xml:space="preserve">、技术要求响应及偏离表、商务要求响应及偏离表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投标人需对招标文件中的技术要求与商务要求逐项作出响应或偏离，并说明原因。</w:t>
      </w:r>
      <w:r/>
    </w:p>
    <w:p>
      <w:pPr>
        <w:ind w:firstLine="480"/>
        <w:spacing w:line="499" w:lineRule="atLeast"/>
        <w:tabs>
          <w:tab w:val="left" w:pos="1035"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14</w:t>
      </w:r>
      <w:r>
        <w:rPr>
          <w:rFonts w:ascii="黑体" w:hAnsi="黑体" w:eastAsia="黑体" w:cs="黑体"/>
          <w:b/>
          <w:color w:val="000000"/>
          <w:sz w:val="28"/>
        </w:rPr>
        <w:t xml:space="preserve">、投标函和开标一览表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投标人应按照招标文件中提供的格式完整、正确填写投标函、开标一览表。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15</w:t>
      </w:r>
      <w:r>
        <w:rPr>
          <w:rFonts w:ascii="黑体" w:hAnsi="黑体" w:eastAsia="黑体" w:cs="黑体"/>
          <w:b/>
          <w:color w:val="000000"/>
          <w:sz w:val="28"/>
        </w:rPr>
        <w:t xml:space="preserve">、投标有效期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投标有效期为采购中心规定的开标之日后</w:t>
      </w:r>
      <w:r>
        <w:rPr>
          <w:rFonts w:ascii="宋体" w:hAnsi="宋体" w:cs="宋体"/>
          <w:b/>
          <w:color w:val="000000"/>
          <w:sz w:val="24"/>
          <w:u w:val="single"/>
        </w:rPr>
        <w:t xml:space="preserve">六十（</w:t>
      </w:r>
      <w:r>
        <w:rPr>
          <w:rFonts w:ascii="仿宋" w:hAnsi="仿宋" w:eastAsia="仿宋" w:cs="仿宋"/>
          <w:b/>
          <w:color w:val="000000"/>
          <w:sz w:val="24"/>
          <w:u w:val="single"/>
        </w:rPr>
        <w:t xml:space="preserve">60</w:t>
      </w:r>
      <w:r>
        <w:rPr>
          <w:rFonts w:ascii="宋体" w:hAnsi="宋体" w:cs="宋体"/>
          <w:b/>
          <w:color w:val="000000"/>
          <w:sz w:val="24"/>
          <w:u w:val="single"/>
        </w:rPr>
        <w:t xml:space="preserve">）天</w:t>
      </w:r>
      <w:r>
        <w:rPr>
          <w:rFonts w:ascii="宋体" w:hAnsi="宋体" w:cs="宋体"/>
          <w:color w:val="000000"/>
          <w:sz w:val="24"/>
        </w:rPr>
        <w:t xml:space="preserve">。投标有效期比规定短的将被视为未实质性响应招标文件而予以拒绝。</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16</w:t>
      </w:r>
      <w:r>
        <w:rPr>
          <w:rFonts w:ascii="黑体" w:hAnsi="黑体" w:eastAsia="黑体" w:cs="黑体"/>
          <w:b/>
          <w:color w:val="000000"/>
          <w:sz w:val="28"/>
        </w:rPr>
        <w:t xml:space="preserve">、投标有效期的延长</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17</w:t>
      </w:r>
      <w:r>
        <w:rPr>
          <w:rFonts w:ascii="黑体" w:hAnsi="黑体" w:eastAsia="黑体" w:cs="黑体"/>
          <w:b/>
          <w:color w:val="000000"/>
          <w:sz w:val="28"/>
        </w:rPr>
        <w:t xml:space="preserve">、投标文件的递交</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电子投标文件的递交</w:t>
      </w:r>
      <w:r/>
    </w:p>
    <w:p>
      <w:pPr>
        <w:ind w:left="52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投标人应当按照《操作手册》规定，在投标截止时间前制作并上传电子投标文件。</w:t>
      </w:r>
      <w:r/>
    </w:p>
    <w:p>
      <w:pPr>
        <w:ind w:firstLine="420"/>
        <w:spacing w:before="280" w:after="290" w:line="43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18</w:t>
      </w:r>
      <w:r>
        <w:rPr>
          <w:rFonts w:ascii="黑体" w:hAnsi="黑体" w:eastAsia="黑体" w:cs="黑体"/>
          <w:b/>
          <w:color w:val="000000"/>
          <w:sz w:val="28"/>
        </w:rPr>
        <w:t xml:space="preserve">、投标截止时间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18.1 投标人上传电子投标文件的时间不得迟于招标公告中规定的投标截止时间。</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 采购中心可以按照规定，通过修改招标文件酌情延长投标截止时间，在此情况下，投标人的所有权利和义务以及投标人受制的截止时间均应以延长后新的截止时间为准。</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19</w:t>
      </w:r>
      <w:r>
        <w:rPr>
          <w:rFonts w:ascii="黑体" w:hAnsi="黑体" w:eastAsia="黑体" w:cs="黑体"/>
          <w:b/>
          <w:color w:val="000000"/>
          <w:sz w:val="28"/>
        </w:rPr>
        <w:t xml:space="preserve">、投标文件的拒收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19.1采购中心拒绝接收在其规定的投标截止时间后上传的任何投标文件。</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20</w:t>
      </w:r>
      <w:r>
        <w:rPr>
          <w:rFonts w:ascii="黑体" w:hAnsi="黑体" w:eastAsia="黑体" w:cs="黑体"/>
          <w:b/>
          <w:color w:val="000000"/>
          <w:sz w:val="28"/>
        </w:rPr>
        <w:t xml:space="preserve">、投标文件的撤回和修改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 电子投标文件的撤回</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 投标人撤回电子投标文件，则认为其不再参与本项目投标活动。</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 投标文件的修改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 在投标截止时间之后，投标人不得对其电子投标文件作任何修改。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 在投标截止时间至招标文件中规定的投标有效期满之间的这段时间内，投标人不得撤回其投标。</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21</w:t>
      </w:r>
      <w:r>
        <w:rPr>
          <w:rFonts w:ascii="黑体" w:hAnsi="黑体" w:eastAsia="黑体" w:cs="黑体"/>
          <w:b/>
          <w:color w:val="000000"/>
          <w:sz w:val="28"/>
        </w:rPr>
        <w:t xml:space="preserve">、开标</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采购中心将在招标公告中规定的时间和地点组织公开开标。投标人应当按照《操作手册》规定，参加开标活动和在</w:t>
      </w:r>
      <w:r>
        <w:rPr>
          <w:rFonts w:ascii="宋体" w:hAnsi="宋体" w:cs="宋体"/>
          <w:color w:val="ff0000"/>
          <w:sz w:val="24"/>
        </w:rPr>
        <w:t xml:space="preserve">苏采云系统</w:t>
      </w:r>
      <w:r>
        <w:rPr>
          <w:rFonts w:ascii="宋体" w:hAnsi="宋体" w:cs="宋体"/>
          <w:color w:val="000000"/>
          <w:sz w:val="24"/>
        </w:rPr>
        <w:t xml:space="preserve">规定的时间内对投标文件进行解密。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21.2开标仪式由采购中心组织。</w:t>
      </w:r>
      <w:r>
        <w:rPr>
          <w:rFonts w:ascii="宋体" w:hAnsi="宋体" w:cs="宋体"/>
          <w:color w:val="ff0000"/>
          <w:sz w:val="24"/>
        </w:rPr>
        <w:t xml:space="preserve">苏采云系统</w:t>
      </w:r>
      <w:r>
        <w:rPr>
          <w:rFonts w:ascii="宋体" w:hAnsi="宋体" w:cs="宋体"/>
          <w:color w:val="000000"/>
          <w:sz w:val="24"/>
        </w:rPr>
        <w:t xml:space="preserve">将自动对项目进行开标，并宣布各投标人名称和投标价格。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 </w:t>
      </w:r>
      <w:r>
        <w:rPr>
          <w:rFonts w:ascii="宋体" w:hAnsi="宋体" w:cs="宋体"/>
          <w:color w:val="ff0000"/>
          <w:sz w:val="24"/>
        </w:rPr>
        <w:t xml:space="preserve">苏采云系统</w:t>
      </w:r>
      <w:r>
        <w:rPr>
          <w:rFonts w:ascii="宋体" w:hAnsi="宋体" w:cs="宋体"/>
          <w:color w:val="000000"/>
          <w:sz w:val="24"/>
        </w:rPr>
        <w:t xml:space="preserve">中《开标记录表》宣布后5分钟内未提出的，视同认可开标结果。</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22</w:t>
      </w:r>
      <w:r>
        <w:rPr>
          <w:rFonts w:ascii="黑体" w:hAnsi="黑体" w:eastAsia="黑体" w:cs="黑体"/>
          <w:b/>
          <w:color w:val="000000"/>
          <w:sz w:val="28"/>
        </w:rPr>
        <w:t xml:space="preserve">、评标委员会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22.1开标后，采购中心将立即组织评标委员会（以下简称评委会）进行评标。</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22.2 评委会由采购人代表和有关技术、经济等方面的专家组成，且人员构成符合政府采购有关规定。</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 22.3评委会独立工作，负责评审所有投标文件并确定中标候选人。</w:t>
      </w:r>
      <w:r/>
    </w:p>
    <w:p>
      <w:pPr>
        <w:ind w:firstLine="4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23、评标过程的保密与公正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23.1凡是与审查、澄清、评价和比较投标的有关资料以及授标建议等，采购人、评委、采购中心均不得向投标人或与评标无关的其他人员透露。</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 采购中心和评标委员会不向未中标的投标人解释未中标原因，也不公布评标过程中的相关细节。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采用综合评分法的项目，未中标的投标人可于中标结果公告期限届满之日起通过</w:t>
      </w:r>
      <w:r>
        <w:rPr>
          <w:rFonts w:ascii="宋体" w:hAnsi="宋体" w:cs="宋体"/>
          <w:color w:val="ff0000"/>
          <w:sz w:val="24"/>
        </w:rPr>
        <w:t xml:space="preserve">苏采云系统</w:t>
      </w:r>
      <w:r>
        <w:rPr>
          <w:rFonts w:ascii="宋体" w:hAnsi="宋体" w:cs="宋体"/>
          <w:color w:val="000000"/>
          <w:sz w:val="24"/>
        </w:rPr>
        <w:t xml:space="preserve">查看自己的评审得分及排序情况。</w:t>
      </w:r>
      <w:r>
        <w:rPr>
          <w:rFonts w:ascii="宋体" w:hAnsi="宋体" w:cs="宋体"/>
          <w:color w:val="000000"/>
          <w:sz w:val="24"/>
          <w:highlight w:val="yellow"/>
        </w:rPr>
        <w:t xml:space="preserve">（提醒：经办人在“江苏政府采购网”查询到中标结果后，再点击推送。招标文件定稿后该提醒删除）</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24</w:t>
      </w:r>
      <w:r>
        <w:rPr>
          <w:rFonts w:ascii="黑体" w:hAnsi="黑体" w:eastAsia="黑体" w:cs="黑体"/>
          <w:b/>
          <w:color w:val="000000"/>
          <w:sz w:val="28"/>
        </w:rPr>
        <w:t xml:space="preserve">、投标文件的澄清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 ，有权要求投标人作出必要的澄清、说明或者补正。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w:t>
      </w:r>
      <w:r>
        <w:rPr>
          <w:rFonts w:ascii="宋体" w:hAnsi="宋体" w:cs="宋体"/>
          <w:color w:val="ff0000"/>
          <w:sz w:val="24"/>
        </w:rPr>
        <w:t xml:space="preserve">苏采云系统</w:t>
      </w:r>
      <w:r>
        <w:rPr>
          <w:rFonts w:ascii="宋体" w:hAnsi="宋体" w:cs="宋体"/>
          <w:color w:val="000000"/>
          <w:sz w:val="24"/>
        </w:rPr>
        <w:t xml:space="preserve">向供应商发出“澄清要求函”，接到“澄清要求函”的投标人应当按照要求在</w:t>
      </w:r>
      <w:r>
        <w:rPr>
          <w:rFonts w:ascii="宋体" w:hAnsi="宋体" w:cs="宋体"/>
          <w:color w:val="ff0000"/>
          <w:sz w:val="24"/>
        </w:rPr>
        <w:t xml:space="preserve">苏采云系统</w:t>
      </w:r>
      <w:r>
        <w:rPr>
          <w:rFonts w:ascii="宋体" w:hAnsi="宋体" w:cs="宋体"/>
          <w:color w:val="000000"/>
          <w:sz w:val="24"/>
        </w:rPr>
        <w:t xml:space="preserve">中提交“澄清响应函”并加盖CA电子公章。澄清、说明和补正的内容作为投标文件的补充部分，具体操作方式见《操作手册》。</w:t>
      </w:r>
      <w:r/>
    </w:p>
    <w:p>
      <w:pPr>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24.3 接到评委会澄清、说明和补正要求的投标人如未按规定做出澄清、说明和补正，其风险由投标人自行承担。</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25</w:t>
      </w:r>
      <w:r>
        <w:rPr>
          <w:rFonts w:ascii="黑体" w:hAnsi="黑体" w:eastAsia="黑体" w:cs="黑体"/>
          <w:b/>
          <w:color w:val="000000"/>
          <w:sz w:val="28"/>
        </w:rPr>
        <w:t xml:space="preserve">、对投标文件的初审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未通过资格审查或符合性审查的投标人，采购中心将在</w:t>
      </w:r>
      <w:r>
        <w:rPr>
          <w:rFonts w:ascii="宋体" w:hAnsi="宋体" w:cs="宋体"/>
          <w:color w:val="ff0000"/>
          <w:sz w:val="24"/>
        </w:rPr>
        <w:t xml:space="preserve">苏采云系统</w:t>
      </w:r>
      <w:r>
        <w:rPr>
          <w:rFonts w:ascii="宋体" w:hAnsi="宋体" w:cs="宋体"/>
          <w:color w:val="000000"/>
          <w:sz w:val="24"/>
        </w:rPr>
        <w:t xml:space="preserve">中告知未通过资格审查或符合性审查的原因，评标结束后，采购中心将不再告知未通过资格审查和符合性审查的原因。</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25.4评委会将对确定为实质性响应的投标进行进一步审核，确定其是否有计算上或累加上的算术错误，修正错误的原则如下：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 评委会将按上述修正错误的方法调整投标文件中的投标报价，并通过</w:t>
      </w:r>
      <w:r>
        <w:rPr>
          <w:rFonts w:ascii="宋体" w:hAnsi="宋体" w:cs="宋体"/>
          <w:color w:val="ff0000"/>
          <w:sz w:val="24"/>
        </w:rPr>
        <w:t xml:space="preserve">苏采云系统</w:t>
      </w:r>
      <w:r>
        <w:rPr>
          <w:rFonts w:ascii="宋体" w:hAnsi="宋体" w:cs="宋体"/>
          <w:color w:val="000000"/>
          <w:sz w:val="24"/>
        </w:rPr>
        <w:t xml:space="preserve">告知投标人，调整后的价格应对投标人具有约束力。如果投标人不接受修正后的价格，则其投标将被拒绝。</w:t>
      </w:r>
      <w:r/>
    </w:p>
    <w:p>
      <w:pPr>
        <w:ind w:firstLine="4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25.6投标人在开、评标全过程中应保持通讯畅通，及时登录</w:t>
      </w:r>
      <w:r>
        <w:rPr>
          <w:rFonts w:ascii="宋体" w:hAnsi="宋体" w:cs="宋体"/>
          <w:color w:val="ff0000"/>
          <w:sz w:val="24"/>
        </w:rPr>
        <w:t xml:space="preserve">苏采云系统</w:t>
      </w:r>
      <w:r>
        <w:rPr>
          <w:rFonts w:ascii="宋体" w:hAnsi="宋体" w:cs="宋体"/>
          <w:color w:val="000000"/>
          <w:sz w:val="24"/>
        </w:rPr>
        <w:t xml:space="preserve">查阅、答复相关信息，并安排专人与采购中心及评标委员会联系。</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rPr>
        <w:t xml:space="preserve">26</w:t>
      </w:r>
      <w:r>
        <w:rPr>
          <w:rFonts w:ascii="黑体" w:hAnsi="黑体" w:eastAsia="黑体" w:cs="黑体"/>
          <w:b/>
          <w:color w:val="000000"/>
          <w:sz w:val="28"/>
        </w:rPr>
        <w:t xml:space="preserve">、无效投标条款和废标条款</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投标人在</w:t>
      </w:r>
      <w:r>
        <w:rPr>
          <w:rFonts w:ascii="宋体" w:hAnsi="宋体" w:cs="宋体"/>
          <w:color w:val="ff0000"/>
          <w:sz w:val="24"/>
        </w:rPr>
        <w:t xml:space="preserve">苏采云系统</w:t>
      </w:r>
      <w:r>
        <w:rPr>
          <w:rFonts w:ascii="宋体" w:hAnsi="宋体" w:cs="宋体"/>
          <w:color w:val="000000"/>
          <w:sz w:val="24"/>
        </w:rPr>
        <w:t xml:space="preserve">规定的时间内未成功解密电子投标文件的。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投标人未按照招标文件要求上传电子投标文件的。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26.1.3同一投标人提交两个（含两个）以上不同的投标报价的。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36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26.1.7不符合招标文件中规定的实质性要求和条件的</w:t>
      </w:r>
      <w:r>
        <w:rPr>
          <w:rFonts w:ascii="宋体" w:hAnsi="宋体" w:cs="宋体"/>
          <w:b/>
          <w:color w:val="000000"/>
          <w:sz w:val="24"/>
        </w:rPr>
        <w:t xml:space="preserve">（</w:t>
      </w:r>
      <w:r>
        <w:rPr>
          <w:rFonts w:ascii="宋体" w:hAnsi="宋体" w:cs="宋体"/>
          <w:b/>
          <w:i/>
          <w:color w:val="000000"/>
          <w:sz w:val="24"/>
          <w:u w:val="single"/>
        </w:rPr>
        <w:t xml:space="preserve">本招标文件中斜体且有下划线部分的、或者加“★”号的、或者以文字说明属于实质性要求的内容均为实质性要求和条件）。</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 投标文件含有采购人不能接受的附加条件的。</w:t>
      </w:r>
      <w:r/>
    </w:p>
    <w:p>
      <w:pPr>
        <w:ind w:firstLine="480"/>
        <w:spacing w:line="438"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26.1.10 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26.1.11 投标文件未按照招标文件要求加盖CA电子公章的。</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26.1.12其他法律、法规及本招标文件规定的属无效投标的情形。</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26.2.1符合专业条件的供应商或者对招标文件作实质响应的供应商不足三家的。26.2.2出现影响采购公正的违法、违规行为的。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26.2.4评标委员会认定招标文件存在歧义、重大缺陷导致评审工作无法进行。</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 因</w:t>
      </w:r>
      <w:r>
        <w:rPr>
          <w:rFonts w:ascii="宋体" w:hAnsi="宋体" w:cs="宋体"/>
          <w:color w:val="ff0000"/>
          <w:sz w:val="24"/>
        </w:rPr>
        <w:t xml:space="preserve">苏采云系统</w:t>
      </w:r>
      <w:r>
        <w:rPr>
          <w:rFonts w:ascii="宋体" w:hAnsi="宋体" w:cs="宋体"/>
          <w:color w:val="000000"/>
          <w:sz w:val="24"/>
        </w:rPr>
        <w:t xml:space="preserve">系统故障原因造成开标不成功的。</w:t>
      </w:r>
      <w:r/>
    </w:p>
    <w:p>
      <w:pPr>
        <w:ind w:left="479"/>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投标截止时间结束后参加投标的供应商不足三家的处理：</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26.3.1如出现投标截止时间结束后参加投标的供应商或者在评标期间对招标文件做出实质响应的供应商不足三家情况，按政府采购相关规定执行。</w:t>
      </w:r>
      <w:r/>
    </w:p>
    <w:p>
      <w:pPr>
        <w:ind w:firstLine="482"/>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27、确定中标单位</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 采购人应根据评委会推荐的中标候选人按顺序确定中标人，中标候选人并列的，由采购人依法确定。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采购中心将在“江苏政府采购网、常州市政府采购网”发布中标公告，公告期限为1个工作日。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  若有充分证据证明，中标人出现下列情况之一的，一经查实，将被取消中标资格：</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27.4.2向采购人、采购中心行贿或者提供其他不正当利益的。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27.5有下列情形之一的，视为投标人串通投标，投标无效：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28、质疑处理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 提出质疑的供应商应当是参与所质疑项目采购活动的供应商。潜在供应商依法获取其可质疑的采购文件的，可以对采购文件提出质疑。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28.2.3对中标或者成交结果提出质疑的，为中标或者成交结果公告期限届满之日。</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采购中心及采购人只接收以纸质原件形式送达的质疑,建议外地供应商尽量通过邮寄方式提交质疑</w:t>
      </w:r>
      <w:r>
        <w:rPr>
          <w:rFonts w:ascii="宋体" w:hAnsi="宋体" w:cs="宋体"/>
          <w:color w:val="ff0000"/>
          <w:sz w:val="24"/>
        </w:rPr>
        <w:t xml:space="preserve">（采购人和采购中心不接受未填写快递运单的快件）。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采购人和采购中心质疑接收联系方式见第一章投标邀请。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 以下情形的质疑不予受理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 内容不符合《政府采购质疑和投诉办法》第十二条规定的质疑。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 超出政府采购法定期限的质疑。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以传真、电子邮件等方式递交的非原件形式的质疑。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 未参加投标活动的供应商或在投标活动中自身权益未受到损害的供应商所提出的质疑。</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29、中标通知书</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29.l中标结果确定后，采购中心将向中标人发出中标通知书。请中标人在中标结果公告届满之日起30日内,使用CA数字证书登录</w:t>
      </w:r>
      <w:r>
        <w:rPr>
          <w:rFonts w:ascii="宋体" w:hAnsi="宋体" w:cs="宋体"/>
          <w:color w:val="ff0000"/>
          <w:sz w:val="24"/>
        </w:rPr>
        <w:t xml:space="preserve">苏采云系统</w:t>
      </w:r>
      <w:r>
        <w:rPr>
          <w:rFonts w:ascii="宋体" w:hAnsi="宋体" w:cs="宋体"/>
          <w:color w:val="000000"/>
          <w:sz w:val="24"/>
        </w:rPr>
        <w:t xml:space="preserve">及时下载中标通知书。因系统存储空间有限，自中标结果公告届满之日起30日后，</w:t>
      </w:r>
      <w:r>
        <w:rPr>
          <w:rFonts w:ascii="宋体" w:hAnsi="宋体" w:cs="宋体"/>
          <w:color w:val="ff0000"/>
          <w:sz w:val="24"/>
        </w:rPr>
        <w:t xml:space="preserve">苏采云系统</w:t>
      </w:r>
      <w:r>
        <w:rPr>
          <w:rFonts w:ascii="宋体" w:hAnsi="宋体" w:cs="宋体"/>
          <w:color w:val="000000"/>
          <w:sz w:val="24"/>
        </w:rPr>
        <w:t xml:space="preserve">不再保证提供下载中标通知书服务,因未及时下载而造成的不利后果由中标人自行承担。</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30. 签订合同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30.l中标人应当在中标通知书发出之日起三十日内，按照招标文件确定的事项与采购人签订政府采购合同。</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30.2招标文件、中标人的投标文件及招标过程中有关澄清、承诺文件均应作为合同附件。</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 签订合同后，</w:t>
      </w:r>
      <w:r>
        <w:rPr>
          <w:rFonts w:ascii="宋体" w:hAnsi="宋体" w:cs="宋体"/>
          <w:i/>
          <w:color w:val="000000"/>
          <w:sz w:val="24"/>
          <w:u w:val="single"/>
        </w:rPr>
        <w:t xml:space="preserve">中标人不得将合同标的进行转包</w:t>
      </w:r>
      <w:r>
        <w:rPr>
          <w:rFonts w:ascii="宋体" w:hAnsi="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60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（备注：项目经办人在发标前应与采购人商定是否允许中标人分包履行合同，确定后该备注删除）</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31、服务（包含与服务相关的货物）的追加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32、需要执行的政府采购政策（包括但不限于）</w:t>
      </w:r>
      <w:r>
        <w:rPr>
          <w:rFonts w:eastAsia="Times New Roman"/>
          <w:b/>
          <w:color w:val="000000"/>
          <w:sz w:val="24"/>
        </w:rPr>
        <w:t xml:space="preserve"> </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32.1履约资金扶持政策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中标人可凭政府采购合同办理融资贷款，详情请见江苏政府采购网“政采贷”专栏。</w:t>
      </w:r>
      <w:r/>
    </w:p>
    <w:p>
      <w:pPr>
        <w:ind w:firstLine="482"/>
        <w:spacing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32.2进口产品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32.3中小企业、监狱企业及残疾人福利性单位</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32.3.1中小企业定义：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中小企业是</w:t>
      </w:r>
      <w:r>
        <w:rPr>
          <w:rFonts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32.3.2供应商提供的货物、工程或者服务符合下列情形的，享受中小企业扶持政策：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32.3.2.1在货物采购项目中，货物由中小企业制造，即货物由中小企业生产且使用该中小企业商号或者注册商标；</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32.3.2.2在工程采购项目中，工程由中小企业承建，即工程施工单位为中小企业；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32.3.2.3在服务采购项目中，服务由中小企业承接，即提供服务的人员为中小企业依照《中华人民共和国劳动合同法》订立劳动合同的从业人员。</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32.3.3在货物采购项目中，供应商提供的货物既有中小企业制造货物，也有大型企业制造货物的，不享受中小企业扶持政策。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32.3.4以联合体形式参加政府采购活动，联合体各方均为中小企业的，联合体视同中小企业。其中，联合体各方均为小微企业的，联合体视同小微企业。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32.3.6残疾人福利单位定义：享受政府采购支持政策的残疾人福利性单位应当同时满足以下条件：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32.3.6.1安置的残疾人占本单位在职职工人数的比例不低于25%（含25%），并且安置的残疾人人数不少于10 人（含10 人）；</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32.3.6.2依法与安置的每位残疾人签订了一年以上（含一年）的劳动合同或服务协议；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32.3.6.3为安置的每位残疾人按月足额缴纳了基本养老保险、基本医疗保险、失业保险、工伤保险和生育保险等社会保险费；</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32.3.6.4通过银行等金融机构向安置的每位残疾人，按月支付了不低于单位所在区县适用的经省级人民政府批准的月最低工资标准的工资；</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32.3.7本项目是否专门面向中小企业预留采购份额见第一章《投标邀请》。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32.3.8采购标的对应的中小企业划分标准所属行业见第四章《采购需求》。</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32.3.9小微企业价格评审优惠的政策调整：见第五章《评标方法和评标标准》。</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32.4政府采购节能产品、环境标志产品</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w:t>
      </w:r>
      <w:r>
        <w:rPr>
          <w:rFonts w:ascii="宋体" w:hAnsi="宋体" w:cs="宋体"/>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32.4.2非政府强制采购的节能产品或环境标志产品，依据品目清单和认证证书实施政府优先采购。优先采购的具体规定见第五章《评标方法和评标标准》（如涉及）。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32.5绿色包装</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32.6支持乡村产业振兴管理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32.7正版软件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32.8政府采购创新产品政策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7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32.9绿色数据中心政策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依据《绿色数据中心政府采购需求标准（试行）》（财办库〔2023〕7号）文件精神，采购</w:t>
      </w:r>
      <w:r>
        <w:rPr>
          <w:rFonts w:ascii="宋体" w:hAnsi="宋体" w:cs="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b/>
          <w:color w:val="000000"/>
          <w:sz w:val="24"/>
        </w:rPr>
        <w:t xml:space="preserve">32.10履约保证金相关政策</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w:t>
      </w:r>
      <w:r>
        <w:rPr>
          <w:rFonts w:ascii="Calibri" w:hAnsi="Calibri" w:eastAsia="Calibri" w:cs="Calibri"/>
          <w:b/>
          <w:color w:val="000000"/>
          <w:sz w:val="44"/>
        </w:rPr>
        <w:t xml:space="preserve"> </w:t>
      </w:r>
      <w:r>
        <w:rPr>
          <w:rFonts w:ascii="黑体" w:hAnsi="黑体" w:eastAsia="黑体" w:cs="黑体"/>
          <w:b/>
          <w:color w:val="000000"/>
          <w:sz w:val="44"/>
        </w:rPr>
        <w:t xml:space="preserve"> 合同文本</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以下为中标后签定本项目合同的通用条款，中标人不得提出实质性的修改。</w:t>
      </w:r>
      <w:r/>
    </w:p>
    <w:p>
      <w:pPr>
        <w:jc w:val="cente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常州市政府采购合同（服务）（合同编号）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项目编号：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甲、乙双方根据常州市政府采购中心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本合同金额为（大写）：____________________________________圆（_______________元）人民币或其他币种。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w:t>
      </w:r>
      <w:r>
        <w:rPr>
          <w:rFonts w:ascii="宋体" w:hAnsi="宋体" w:cs="宋体"/>
          <w:color w:val="000000"/>
          <w:sz w:val="24"/>
          <w:u w:val="single"/>
        </w:rPr>
        <w:t xml:space="preserve">不收取</w:t>
      </w:r>
      <w:r>
        <w:rPr>
          <w:rFonts w:ascii="宋体" w:hAnsi="宋体" w:cs="宋体"/>
          <w:color w:val="000000"/>
          <w:sz w:val="24"/>
        </w:rPr>
        <w:t xml:space="preserve">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乙方交纳人民币____/_____元作为本合同的履约保证金。（不得超过合同金额的5%）。供应商可以自主选择以支票、汇票、本票、保函（保险）等非现金形式交纳或提交，按照省市有关文件精神，鼓励优先采用电子履约保函（保险）形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6.2.1履约保证金退还方式：</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6.2.2履约保证金退还时间：</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6.2.3履约保证金退还条件：</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6.2.4履约保证金不予退还的情形：</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8.1分期付款：</w:t>
      </w:r>
      <w:r>
        <w:rPr>
          <w:rFonts w:hint="eastAsia" w:ascii="宋体" w:hAnsi="宋体" w:cs="宋体"/>
          <w:color w:val="000000"/>
          <w:sz w:val="24"/>
        </w:rPr>
        <w:t xml:space="preserve">（1）</w:t>
      </w:r>
      <w:r>
        <w:rPr>
          <w:rFonts w:hint="eastAsia" w:ascii="宋体" w:hAnsi="宋体" w:cs="宋体"/>
          <w:color w:val="000000"/>
          <w:sz w:val="24"/>
          <w:u w:val="single"/>
        </w:rPr>
        <w:t xml:space="preserve">合同签订生效后支付合同总额45%；（2）系统通过验收并正式上线运行后支付合同总额55%；</w:t>
      </w:r>
      <w:r>
        <w:rPr>
          <w:rFonts w:ascii="宋体" w:hAnsi="宋体" w:cs="宋体"/>
          <w:color w:val="000000"/>
          <w:sz w:val="24"/>
          <w:u w:val="single"/>
        </w:rPr>
        <w:t xml:space="preserve"> </w:t>
      </w:r>
      <w:r>
        <w:rPr>
          <w:rFonts w:ascii="宋体" w:hAnsi="宋体" w:cs="宋体"/>
          <w:color w:val="000000"/>
          <w:sz w:val="24"/>
        </w:rPr>
        <w:t xml:space="preserve">，其中涉及预付款的：</w:t>
      </w:r>
      <w:r>
        <w:rPr>
          <w:rFonts w:hint="eastAsia" w:ascii="宋体" w:hAnsi="宋体" w:cs="宋体"/>
          <w:color w:val="000000"/>
          <w:sz w:val="24"/>
          <w:u w:val="single"/>
        </w:rPr>
        <w:t xml:space="preserve">合同签订生效后支付合同总额45%</w:t>
      </w:r>
      <w:r>
        <w:rPr>
          <w:rFonts w:ascii="宋体" w:hAnsi="宋体" w:cs="宋体"/>
          <w:color w:val="000000"/>
          <w:sz w:val="24"/>
          <w:u w:val="single"/>
        </w:rPr>
        <w:t xml:space="preserve">）</w:t>
      </w:r>
      <w:r>
        <w:rPr>
          <w:rFonts w:ascii="宋体" w:hAnsi="宋体" w:cs="宋体"/>
          <w:color w:val="000000"/>
          <w:sz w:val="24"/>
        </w:rPr>
        <w:t xml:space="preserve"> 。满足合同约定支付条件的，自收到发票后10个工作日内支付。</w:t>
      </w:r>
      <w:r/>
    </w:p>
    <w:p>
      <w:pPr>
        <w:spacing w:before="120" w:after="120"/>
        <w:pBdr>
          <w:top w:val="none" w:color="000000" w:sz="0" w:space="0"/>
          <w:left w:val="none" w:color="000000" w:sz="0" w:space="0"/>
          <w:bottom w:val="none" w:color="000000" w:sz="0" w:space="0"/>
          <w:right w:val="none" w:color="000000" w:sz="0" w:space="0"/>
        </w:pBdr>
      </w:pPr>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56" w:after="156"/>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 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 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 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 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在合同有效期内，任何一方因不可抗力事件导致不能履行合同，则合同履行期可延长，其延长期与不可抗力影响 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14.2本合同未尽事宜，遵照《民法典》、《政府采购法》有关条文执行。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 本合同正本一式两份，具有同等法律效力，甲方、乙方各执一份。</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甲方：                       乙方：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                       地址：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法定代表人或授权代表：        法定代表人或授权代表：</w:t>
      </w:r>
      <w:r/>
    </w:p>
    <w:p>
      <w:pPr>
        <w:ind w:firstLine="24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                   联系电话：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签订日期：     年    月   日</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采购需求</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一、采购标的</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项目名称：</w:t>
      </w:r>
      <w:r>
        <w:rPr>
          <w:rFonts w:hint="eastAsia" w:ascii="宋体" w:hAnsi="宋体" w:cs="宋体"/>
          <w:color w:val="000000"/>
          <w:sz w:val="24"/>
        </w:rPr>
        <w:t xml:space="preserve">常州市新北区三井人民医院智慧化预防接种门诊建设项目</w:t>
      </w:r>
      <w:r/>
    </w:p>
    <w:p>
      <w:pPr>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2.预算金额</w:t>
      </w:r>
      <w:r>
        <w:rPr>
          <w:rFonts w:ascii="宋体" w:hAnsi="宋体" w:cs="宋体"/>
          <w:color w:val="000000"/>
          <w:sz w:val="24"/>
          <w:highlight w:val="white"/>
        </w:rPr>
        <w:t xml:space="preserve">：</w:t>
      </w:r>
      <w:r>
        <w:rPr>
          <w:rFonts w:hint="eastAsia"/>
          <w:iCs/>
          <w:sz w:val="24"/>
          <w:highlight w:val="white"/>
        </w:rPr>
        <w:t xml:space="preserve">48</w:t>
      </w:r>
      <w:r>
        <w:rPr>
          <w:rFonts w:hint="eastAsia" w:ascii="宋体" w:hAnsi="宋体"/>
          <w:sz w:val="24"/>
          <w:highlight w:val="white"/>
        </w:rPr>
        <w:t xml:space="preserve">万</w:t>
      </w:r>
      <w:r>
        <w:rPr>
          <w:rFonts w:hint="eastAsia" w:ascii="宋体" w:hAnsi="宋体"/>
          <w:sz w:val="24"/>
          <w:highlight w:val="white"/>
          <w:lang w:val="en-US" w:eastAsia="zh-CN"/>
        </w:rPr>
        <w:t xml:space="preserve">元</w:t>
      </w:r>
      <w:r>
        <w:rPr>
          <w:highlight w:val="white"/>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3.最高限价：</w:t>
      </w:r>
      <w:r>
        <w:rPr>
          <w:rFonts w:hint="eastAsia"/>
          <w:iCs/>
          <w:sz w:val="24"/>
          <w:highlight w:val="white"/>
        </w:rPr>
        <w:t xml:space="preserve">48</w:t>
      </w:r>
      <w:r>
        <w:rPr>
          <w:rFonts w:hint="eastAsia" w:ascii="宋体" w:hAnsi="宋体"/>
          <w:sz w:val="24"/>
          <w:highlight w:val="white"/>
        </w:rPr>
        <w:t xml:space="preserve">万</w:t>
      </w:r>
      <w:r>
        <w:rPr>
          <w:rFonts w:hint="eastAsia" w:ascii="宋体" w:hAnsi="宋体"/>
          <w:sz w:val="24"/>
          <w:highlight w:val="white"/>
          <w:lang w:val="en-US" w:eastAsia="zh-CN"/>
        </w:rPr>
        <w:t xml:space="preserve">元</w:t>
      </w:r>
      <w:r>
        <w:rPr>
          <w:highlight w:val="white"/>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4.采购项目概况（简介）：</w:t>
      </w:r>
      <w:r>
        <w:rPr>
          <w:rFonts w:hint="eastAsia" w:ascii="宋体" w:hAnsi="宋体" w:cs="宋体"/>
          <w:color w:val="000000"/>
          <w:sz w:val="24"/>
          <w:highlight w:val="white"/>
        </w:rPr>
        <w:t xml:space="preserve">本次采购项目的建设内容主要包括：在数字化门诊基础上升级信息系统及增加智能化设备，包含疫苗智能电子标签系统、疫苗智能分类储存小冰箱信息系统、门诊疫苗智能分发系统、预防接种工作人员信息展示系统、门诊指标大数据分析系统、预防接种自助服务系统、数字化预防接种门诊候诊显示系统、HIS系统数据对接、犬伤电子核签系统、犬伤接种留观系统、视频监控迁移、智慧化门诊信息化改造升级。</w:t>
      </w:r>
      <w:r>
        <w:rPr>
          <w:highlight w:val="white"/>
        </w:rPr>
      </w:r>
      <w:r/>
    </w:p>
    <w:p>
      <w:pPr>
        <w:spacing w:line="360" w:lineRule="auto"/>
        <w:rPr>
          <w:rFonts w:hint="eastAsia" w:ascii="宋体" w:hAnsi="宋体"/>
          <w:sz w:val="24"/>
          <w:highlight w:val="white"/>
        </w:rPr>
      </w:pPr>
      <w:r>
        <w:rPr>
          <w:rFonts w:ascii="宋体" w:hAnsi="宋体" w:cs="宋体"/>
          <w:color w:val="000000"/>
          <w:sz w:val="24"/>
          <w:highlight w:val="white"/>
        </w:rPr>
        <w:t xml:space="preserve">5.合同履行期限：</w:t>
      </w:r>
      <w:r>
        <w:rPr>
          <w:rFonts w:hint="eastAsia" w:ascii="宋体" w:hAnsi="宋体" w:cs="宋体"/>
          <w:bCs/>
          <w:sz w:val="24"/>
          <w:highlight w:val="white"/>
        </w:rPr>
        <w:t xml:space="preserve">合同签订后，具有实施条件后两个月内实现系统正式上线运行。</w:t>
      </w:r>
      <w:r>
        <w:rPr>
          <w:highlight w:val="white"/>
        </w:rPr>
      </w:r>
      <w:r/>
    </w:p>
    <w:p>
      <w:pPr>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6.是/否接受联合体投标：</w:t>
      </w:r>
      <w:r>
        <w:rPr>
          <w:rFonts w:hint="eastAsia" w:ascii="宋体" w:hAnsi="宋体"/>
          <w:sz w:val="24"/>
        </w:rPr>
        <w:t xml:space="preserve">否</w:t>
      </w: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否接受分支机构参与响应：</w:t>
      </w:r>
      <w:r>
        <w:rPr>
          <w:rFonts w:hint="eastAsia" w:ascii="宋体" w:hAnsi="宋体"/>
          <w:sz w:val="24"/>
        </w:rPr>
        <w:t xml:space="preserve">否</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8.是/否属于政府购买服务：</w:t>
      </w:r>
      <w:r>
        <w:rPr>
          <w:rFonts w:hint="eastAsia" w:ascii="宋体" w:hAnsi="宋体"/>
          <w:sz w:val="24"/>
        </w:rPr>
        <w:t xml:space="preserve">否</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9.是</w:t>
      </w:r>
      <w:r>
        <w:rPr>
          <w:rFonts w:eastAsia="Times New Roman"/>
          <w:color w:val="000000"/>
          <w:sz w:val="24"/>
        </w:rPr>
        <w:t xml:space="preserve">/</w:t>
      </w:r>
      <w:r>
        <w:rPr>
          <w:rFonts w:ascii="宋体" w:hAnsi="宋体" w:cs="宋体"/>
          <w:color w:val="000000"/>
          <w:sz w:val="24"/>
        </w:rPr>
        <w:t xml:space="preserve">否接受进口产品投标：</w:t>
      </w:r>
      <w:r>
        <w:rPr>
          <w:rFonts w:hint="eastAsia" w:ascii="宋体" w:hAnsi="宋体"/>
          <w:sz w:val="24"/>
        </w:rPr>
        <w:t xml:space="preserve">否</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10.</w:t>
      </w:r>
      <w:r>
        <w:rPr>
          <w:rFonts w:ascii="宋体" w:hAnsi="宋体" w:cs="宋体"/>
          <w:color w:val="000000"/>
          <w:sz w:val="24"/>
        </w:rPr>
        <w:t xml:space="preserve">是</w:t>
      </w:r>
      <w:r>
        <w:rPr>
          <w:rFonts w:eastAsia="Times New Roman"/>
          <w:color w:val="000000"/>
          <w:sz w:val="24"/>
        </w:rPr>
        <w:t xml:space="preserve">/</w:t>
      </w:r>
      <w:r>
        <w:rPr>
          <w:rFonts w:ascii="宋体" w:hAnsi="宋体" w:cs="宋体"/>
          <w:color w:val="000000"/>
          <w:sz w:val="24"/>
        </w:rPr>
        <w:t xml:space="preserve">否专门面向中小企业预留采购份额：</w:t>
      </w:r>
      <w:r>
        <w:rPr>
          <w:rFonts w:hint="eastAsia" w:ascii="宋体" w:hAnsi="宋体" w:cs="宋体"/>
          <w:color w:val="000000"/>
          <w:sz w:val="24"/>
        </w:rPr>
        <w:t xml:space="preserve">是</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11.</w:t>
      </w:r>
      <w:r>
        <w:rPr>
          <w:rFonts w:ascii="宋体" w:hAnsi="宋体" w:cs="宋体"/>
          <w:color w:val="000000"/>
          <w:sz w:val="24"/>
        </w:rPr>
        <w:t xml:space="preserve">本项目的特定资格要求：</w:t>
      </w:r>
      <w:r>
        <w:rPr>
          <w:rFonts w:hint="eastAsia" w:ascii="宋体" w:hAnsi="宋体" w:cs="宋体"/>
          <w:color w:val="000000"/>
          <w:sz w:val="24"/>
        </w:rPr>
        <w:t xml:space="preserve">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12.项目类别：</w:t>
      </w:r>
      <w:r>
        <w:rPr>
          <w:rFonts w:hint="eastAsia" w:ascii="宋体" w:hAnsi="宋体"/>
          <w:bCs/>
          <w:sz w:val="24"/>
        </w:rPr>
        <w:t xml:space="preserve">服务类；</w:t>
      </w:r>
      <w:r/>
    </w:p>
    <w:p>
      <w:pPr>
        <w:pBdr>
          <w:top w:val="none" w:color="000000" w:sz="0" w:space="0"/>
          <w:left w:val="none" w:color="000000" w:sz="0" w:space="0"/>
          <w:bottom w:val="none" w:color="000000" w:sz="0" w:space="0"/>
          <w:right w:val="none" w:color="000000" w:sz="0" w:space="0"/>
        </w:pBdr>
      </w:pPr>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二、商务要求</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1.</w:t>
      </w:r>
      <w:r>
        <w:rPr>
          <w:rFonts w:ascii="宋体" w:hAnsi="宋体" w:cs="宋体"/>
          <w:color w:val="000000"/>
          <w:sz w:val="24"/>
        </w:rPr>
        <w:t xml:space="preserve">交付（实施）的时间（期限）和地点（范围）</w:t>
      </w:r>
      <w:r/>
    </w:p>
    <w:p>
      <w:pPr>
        <w:ind w:firstLine="480"/>
        <w:spacing w:line="360" w:lineRule="auto"/>
        <w:rPr>
          <w:rFonts w:ascii="宋体" w:hAnsi="宋体" w:cs="宋体"/>
          <w:bCs/>
          <w:sz w:val="24"/>
        </w:rPr>
      </w:pPr>
      <w:r>
        <w:rPr>
          <w:rFonts w:hint="eastAsia" w:ascii="宋体" w:hAnsi="宋体" w:cs="宋体"/>
          <w:bCs/>
          <w:sz w:val="24"/>
        </w:rPr>
        <w:t xml:space="preserve">交付时间：合同签订后，具有实施条件后两个月内实现系统正式上线运行。</w:t>
      </w:r>
      <w:r/>
    </w:p>
    <w:p>
      <w:pPr>
        <w:ind w:firstLine="480"/>
        <w:spacing w:line="360" w:lineRule="auto"/>
        <w:rPr>
          <w:rFonts w:ascii="宋体" w:hAnsi="宋体" w:cs="宋体"/>
          <w:bCs/>
          <w:sz w:val="24"/>
        </w:rPr>
      </w:pPr>
      <w:r>
        <w:rPr>
          <w:rFonts w:hint="eastAsia" w:ascii="宋体" w:hAnsi="宋体" w:cs="宋体"/>
          <w:bCs/>
          <w:sz w:val="24"/>
        </w:rPr>
        <w:t xml:space="preserve">交付地点：常州市</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付款条件（进度和方式）</w:t>
      </w:r>
      <w:r/>
    </w:p>
    <w:p>
      <w:pPr>
        <w:ind w:firstLine="480"/>
        <w:spacing w:line="360" w:lineRule="auto"/>
        <w:rPr>
          <w:rFonts w:ascii="宋体" w:hAnsi="宋体" w:cs="宋体"/>
          <w:bCs/>
          <w:sz w:val="24"/>
        </w:rPr>
      </w:pPr>
      <w:r>
        <w:rPr>
          <w:rFonts w:hint="eastAsia" w:ascii="宋体" w:hAnsi="宋体" w:cs="宋体"/>
          <w:bCs/>
          <w:sz w:val="24"/>
        </w:rPr>
        <w:t xml:space="preserve">（1）合同签订生效后支付合同总额45%；</w:t>
      </w:r>
      <w:r/>
    </w:p>
    <w:p>
      <w:pPr>
        <w:ind w:firstLine="480"/>
        <w:spacing w:line="360" w:lineRule="auto"/>
        <w:rPr>
          <w:rFonts w:ascii="宋体" w:hAnsi="宋体" w:cs="宋体"/>
          <w:bCs/>
          <w:sz w:val="24"/>
        </w:rPr>
      </w:pPr>
      <w:r>
        <w:rPr>
          <w:rFonts w:hint="eastAsia" w:ascii="宋体" w:hAnsi="宋体" w:cs="宋体"/>
          <w:bCs/>
          <w:sz w:val="24"/>
        </w:rPr>
        <w:t xml:space="preserve">（2）系统通过验收并正式上线运行后支付合同总额55%；</w:t>
      </w:r>
      <w:r/>
    </w:p>
    <w:p>
      <w:pPr>
        <w:ind w:firstLine="480"/>
        <w:spacing w:line="360" w:lineRule="auto"/>
        <w:rPr>
          <w:rFonts w:ascii="宋体" w:hAnsi="宋体" w:cs="宋体"/>
          <w:bCs/>
          <w:sz w:val="24"/>
        </w:rPr>
      </w:pPr>
      <w:r>
        <w:rPr>
          <w:rFonts w:hint="eastAsia" w:ascii="宋体" w:hAnsi="宋体"/>
          <w:sz w:val="24"/>
        </w:rPr>
        <w:t xml:space="preserve">满足合同约定支付条件的，自收到发票后10个工作日内支付。</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3.</w:t>
      </w:r>
      <w:r>
        <w:rPr>
          <w:rFonts w:ascii="宋体" w:hAnsi="宋体" w:cs="宋体"/>
          <w:color w:val="000000"/>
          <w:sz w:val="24"/>
        </w:rPr>
        <w:t xml:space="preserve">包装和运输</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无</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4.</w:t>
      </w:r>
      <w:r>
        <w:rPr>
          <w:rFonts w:ascii="宋体" w:hAnsi="宋体" w:cs="宋体"/>
          <w:color w:val="000000"/>
          <w:sz w:val="24"/>
        </w:rPr>
        <w:t xml:space="preserve">售后服务（质保期等）</w:t>
      </w:r>
      <w:r/>
    </w:p>
    <w:p>
      <w:pPr>
        <w:rPr>
          <w:sz w:val="24"/>
        </w:rPr>
      </w:pPr>
      <w:r>
        <w:rPr>
          <w:rFonts w:hint="eastAsia"/>
          <w:sz w:val="24"/>
        </w:rPr>
        <w:t xml:space="preserve">投标人需提供售后服务方案、服务计划和服务措施及相关承诺。（提供承诺函）</w:t>
      </w:r>
      <w:r/>
    </w:p>
    <w:p>
      <w:pPr>
        <w:rPr>
          <w:sz w:val="24"/>
        </w:rPr>
      </w:pPr>
      <w:r>
        <w:rPr>
          <w:rFonts w:hint="eastAsia"/>
          <w:sz w:val="24"/>
        </w:rPr>
        <w:t xml:space="preserve">（1）系统免费质保期为验收合格后1年。由于系统本身程序所引起的问题，提供免费技术支持服务。</w:t>
      </w:r>
      <w:r/>
    </w:p>
    <w:p>
      <w:pPr>
        <w:rPr>
          <w:sz w:val="24"/>
        </w:rPr>
      </w:pPr>
      <w:r>
        <w:rPr>
          <w:rFonts w:hint="eastAsia"/>
          <w:sz w:val="24"/>
        </w:rPr>
        <w:t xml:space="preserve">（2）对软件系统的bug和安全漏洞提供及时响应及修复。</w:t>
      </w:r>
      <w:r/>
    </w:p>
    <w:p>
      <w:pPr>
        <w:rPr>
          <w:sz w:val="24"/>
        </w:rPr>
      </w:pPr>
      <w:r>
        <w:rPr>
          <w:rFonts w:hint="eastAsia"/>
          <w:sz w:val="24"/>
        </w:rPr>
        <w:t xml:space="preserve">（3）安装验收完成后给工作人员操作培训，确保使用人员可独立自主运用系统能力。</w:t>
      </w:r>
      <w:r/>
    </w:p>
    <w:p>
      <w:pPr>
        <w:rPr>
          <w:sz w:val="24"/>
        </w:rPr>
      </w:pPr>
      <w:r>
        <w:rPr>
          <w:rFonts w:hint="eastAsia"/>
          <w:sz w:val="24"/>
        </w:rPr>
        <w:t xml:space="preserve">（4）能够提供本地化售后服务和及时响应。</w:t>
      </w:r>
      <w:r/>
    </w:p>
    <w:p>
      <w:pPr>
        <w:rPr>
          <w:sz w:val="24"/>
        </w:rPr>
      </w:pPr>
      <w:r>
        <w:rPr>
          <w:rFonts w:hint="eastAsia"/>
          <w:sz w:val="24"/>
        </w:rPr>
        <w:t xml:space="preserve">4.2质量保证：</w:t>
      </w:r>
      <w:r/>
    </w:p>
    <w:p>
      <w:pPr>
        <w:rPr>
          <w:sz w:val="24"/>
        </w:rPr>
        <w:pBdr>
          <w:top w:val="none" w:color="000000" w:sz="0" w:space="0"/>
          <w:left w:val="none" w:color="000000" w:sz="0" w:space="0"/>
          <w:bottom w:val="none" w:color="000000" w:sz="0" w:space="0"/>
          <w:right w:val="none" w:color="000000" w:sz="0" w:space="0"/>
        </w:pBdr>
      </w:pPr>
      <w:r>
        <w:rPr>
          <w:rFonts w:hint="eastAsia"/>
          <w:sz w:val="24"/>
        </w:rPr>
        <w:t xml:space="preserve">中标供应商应保证甲方在使用其交付物、服务及其任何部分时不受到第三方关于侵犯专利权、商标权或软件著作权等知识产权的指控。任何第三方如果提出侵权指控，中标供应商应承担可能发生的一切法律责任和费用。</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contextualSpacing/>
        <w:spacing w:line="360" w:lineRule="auto"/>
        <w:rPr>
          <w:sz w:val="24"/>
        </w:rPr>
      </w:pPr>
      <w:r>
        <w:rPr>
          <w:sz w:val="24"/>
        </w:rPr>
        <w:t xml:space="preserve">1. 基本要求</w:t>
      </w:r>
      <w:r/>
    </w:p>
    <w:p>
      <w:pPr>
        <w:contextualSpacing/>
        <w:ind w:firstLine="480"/>
        <w:spacing w:line="360" w:lineRule="auto"/>
        <w:rPr>
          <w:sz w:val="24"/>
        </w:rPr>
      </w:pPr>
      <w:r>
        <w:rPr>
          <w:sz w:val="24"/>
        </w:rPr>
        <w:t xml:space="preserve">1.1 采购标的需实现的功能或者目标</w:t>
      </w:r>
      <w:r/>
    </w:p>
    <w:p>
      <w:pPr>
        <w:contextualSpacing/>
        <w:ind w:firstLine="480"/>
        <w:spacing w:line="360" w:lineRule="auto"/>
        <w:rPr>
          <w:color w:val="000000" w:themeColor="text1"/>
          <w:sz w:val="24"/>
        </w:rPr>
      </w:pPr>
      <w:r>
        <w:rPr>
          <w:rFonts w:hint="eastAsia"/>
          <w:color w:val="000000" w:themeColor="text1"/>
          <w:sz w:val="24"/>
        </w:rPr>
        <w:t xml:space="preserve">通过本次项目升级，实现预防接种门诊更加智慧、高效、便捷。通过疫苗智能电子标签系统、疫苗智能分类储存小冰箱信息系统、门诊疫苗智能分发系统的升级，实现门诊疫苗的高效管理和使用；通过预防接种工作人员信息展示系统、门诊指标大数据分析系统、预防接种自助服务系统、</w:t>
      </w:r>
      <w:r>
        <w:rPr>
          <w:rFonts w:hint="eastAsia" w:ascii="宋体" w:hAnsi="宋体" w:cs="宋体"/>
          <w:color w:val="000000" w:themeColor="text1"/>
          <w:sz w:val="24"/>
          <w:szCs w:val="24"/>
          <w:lang w:bidi="ar"/>
        </w:rPr>
        <w:t xml:space="preserve">数字化预防接种门诊候诊显示系统、</w:t>
      </w:r>
      <w:r>
        <w:rPr>
          <w:rFonts w:hint="eastAsia"/>
          <w:color w:val="000000" w:themeColor="text1"/>
          <w:sz w:val="24"/>
        </w:rPr>
        <w:t xml:space="preserve">HIS系统数据对接实现门诊流程的高效、更加便捷的服务受种人群；通过犬伤电子核签系统、犬伤接种留观系统实现犬伤门诊的高效运转。</w:t>
      </w:r>
      <w:r>
        <w:rPr>
          <w:color w:val="000000" w:themeColor="text1"/>
        </w:rPr>
      </w:r>
      <w:r/>
    </w:p>
    <w:p>
      <w:pPr>
        <w:contextualSpacing/>
        <w:ind w:firstLine="480"/>
        <w:spacing w:line="360" w:lineRule="auto"/>
        <w:rPr>
          <w:color w:val="000000" w:themeColor="text1"/>
          <w:sz w:val="24"/>
        </w:rPr>
      </w:pPr>
      <w:r>
        <w:rPr>
          <w:color w:val="000000" w:themeColor="text1"/>
          <w:sz w:val="24"/>
        </w:rPr>
        <w:t xml:space="preserve">1.2 需执行的国家相关标准、行业标准、地方标准或者其他标准、规范</w:t>
      </w:r>
      <w:r>
        <w:rPr>
          <w:color w:val="000000" w:themeColor="text1"/>
        </w:rPr>
      </w:r>
      <w:r/>
    </w:p>
    <w:p>
      <w:pPr>
        <w:contextualSpacing/>
        <w:ind w:firstLine="480"/>
        <w:spacing w:line="360" w:lineRule="auto"/>
        <w:rPr>
          <w:color w:val="000000" w:themeColor="text1"/>
          <w:sz w:val="24"/>
        </w:rPr>
      </w:pPr>
      <w:r>
        <w:rPr>
          <w:rFonts w:hint="eastAsia"/>
          <w:color w:val="000000" w:themeColor="text1"/>
          <w:sz w:val="24"/>
        </w:rPr>
        <w:t xml:space="preserve">《中华人民共和国疫苗管理法》</w:t>
      </w:r>
      <w:r>
        <w:rPr>
          <w:color w:val="000000" w:themeColor="text1"/>
        </w:rPr>
      </w:r>
      <w:r/>
    </w:p>
    <w:p>
      <w:pPr>
        <w:contextualSpacing/>
        <w:ind w:firstLine="480"/>
        <w:spacing w:line="360" w:lineRule="auto"/>
        <w:rPr>
          <w:color w:val="000000" w:themeColor="text1"/>
          <w:sz w:val="24"/>
        </w:rPr>
      </w:pPr>
      <w:r>
        <w:rPr>
          <w:rFonts w:hint="eastAsia"/>
          <w:color w:val="000000" w:themeColor="text1"/>
          <w:sz w:val="24"/>
        </w:rPr>
        <w:t xml:space="preserve">《预防接种工作规范（2023版）》</w:t>
      </w:r>
      <w:r>
        <w:rPr>
          <w:color w:val="000000" w:themeColor="text1"/>
        </w:rPr>
      </w:r>
      <w:r/>
    </w:p>
    <w:p>
      <w:pPr>
        <w:contextualSpacing/>
        <w:spacing w:line="360" w:lineRule="auto"/>
        <w:rPr>
          <w:sz w:val="24"/>
        </w:rPr>
      </w:pPr>
      <w:r>
        <w:rPr>
          <w:sz w:val="24"/>
        </w:rPr>
        <w:t xml:space="preserve">2. 服务内容及要求/货物技术要求</w:t>
      </w:r>
      <w:r/>
    </w:p>
    <w:p>
      <w:pPr>
        <w:ind w:firstLine="480"/>
        <w:spacing w:line="400" w:lineRule="exact"/>
        <w:rPr>
          <w:sz w:val="24"/>
        </w:rPr>
      </w:pPr>
      <w:r>
        <w:rPr>
          <w:rFonts w:hint="eastAsia"/>
          <w:sz w:val="24"/>
        </w:rPr>
        <w:t xml:space="preserve">2.1 建设清单</w:t>
      </w:r>
      <w:r/>
    </w:p>
    <w:tbl>
      <w:tblPr>
        <w:tblStyle w:val="740"/>
        <w:tblW w:w="9167" w:type="dxa"/>
        <w:tblInd w:w="0" w:type="dxa"/>
        <w:tblLayout w:type="fixed"/>
        <w:tblCellMar>
          <w:left w:w="108" w:type="dxa"/>
          <w:top w:w="0" w:type="dxa"/>
          <w:right w:w="108" w:type="dxa"/>
          <w:bottom w:w="0" w:type="dxa"/>
        </w:tblCellMar>
        <w:tblLook w:val="04A0" w:firstRow="1" w:lastRow="0" w:firstColumn="1" w:lastColumn="0" w:noHBand="0" w:noVBand="1"/>
      </w:tblPr>
      <w:tblGrid>
        <w:gridCol w:w="1480"/>
        <w:gridCol w:w="6244"/>
        <w:gridCol w:w="1443"/>
      </w:tblGrid>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疫苗智能电子标签系统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门诊疫苗智能分发系统软件</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疫苗智能分类存储小冰箱信息系统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8套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预防接种工作人员信息展示系统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门诊指标大数据分析系统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预防接种自助服务系统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His系统数据对接</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数字化预防接种门诊候诊显示系统（大屏）</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2台</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数字化预防接种门诊候诊显示系统（小屏）</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14台</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775"/>
              <w:ind w:left="0"/>
              <w:spacing w:line="276" w:lineRule="auto"/>
              <w:rPr>
                <w:rFonts w:ascii="宋体" w:hAnsi="宋体" w:cs="宋体"/>
                <w:color w:val="000000"/>
                <w:lang w:bidi="ar"/>
              </w:rPr>
            </w:pPr>
            <w:r>
              <w:rPr>
                <w:rFonts w:hint="eastAsia" w:ascii="宋体" w:hAnsi="宋体" w:cs="宋体"/>
                <w:color w:val="000000"/>
                <w:lang w:bidi="ar"/>
              </w:rPr>
              <w:t xml:space="preserve">犬伤电子核签系统（暴露接种知情）</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775"/>
              <w:ind w:left="0"/>
              <w:spacing w:line="276" w:lineRule="auto"/>
              <w:rPr>
                <w:rFonts w:ascii="宋体" w:hAnsi="宋体" w:cs="宋体"/>
                <w:color w:val="000000"/>
                <w:lang w:bidi="ar"/>
              </w:rPr>
            </w:pPr>
            <w:r>
              <w:rPr>
                <w:rFonts w:hint="eastAsia" w:ascii="宋体" w:hAnsi="宋体" w:cs="宋体"/>
                <w:color w:val="000000"/>
                <w:lang w:bidi="ar"/>
              </w:rPr>
              <w:t xml:space="preserve">犬伤电子核签系统（接种告知）</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犬伤接种留观系统</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视频监控迁移</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15套</w:t>
            </w:r>
            <w:r/>
          </w:p>
        </w:tc>
      </w:tr>
      <w:tr>
        <w:trPr>
          <w:trHeight w:val="170"/>
        </w:trPr>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智慧化门诊信息化改造升级</w:t>
            </w:r>
            <w:r/>
          </w:p>
        </w:tc>
        <w:tc>
          <w:tcPr>
            <w:tcBorders>
              <w:top w:val="single" w:color="000000" w:sz="4" w:space="0"/>
              <w:left w:val="single" w:color="000000" w:sz="4" w:space="0"/>
              <w:bottom w:val="single" w:color="000000" w:sz="4" w:space="0"/>
              <w:right w:val="single" w:color="000000" w:sz="4" w:space="0"/>
            </w:tcBorders>
            <w:tcW w:w="144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1套</w:t>
            </w:r>
            <w:r/>
          </w:p>
        </w:tc>
      </w:tr>
    </w:tbl>
    <w:p>
      <w:pPr>
        <w:contextualSpacing/>
        <w:ind w:firstLine="480"/>
        <w:spacing w:line="360" w:lineRule="auto"/>
        <w:widowControl/>
        <w:rPr>
          <w:sz w:val="24"/>
        </w:rPr>
      </w:pPr>
      <w:r>
        <w:rPr>
          <w:rFonts w:hint="eastAsia"/>
          <w:sz w:val="24"/>
        </w:rPr>
        <w:t xml:space="preserve">2.2 技术要求</w:t>
      </w:r>
      <w:r/>
    </w:p>
    <w:tbl>
      <w:tblPr>
        <w:tblStyle w:val="740"/>
        <w:tblW w:w="9163" w:type="dxa"/>
        <w:tblInd w:w="0" w:type="dxa"/>
        <w:tblLayout w:type="fixed"/>
        <w:tblCellMar>
          <w:left w:w="108" w:type="dxa"/>
          <w:top w:w="0" w:type="dxa"/>
          <w:right w:w="108" w:type="dxa"/>
          <w:bottom w:w="0" w:type="dxa"/>
        </w:tblCellMar>
        <w:tblLook w:val="04A0" w:firstRow="1" w:lastRow="0" w:firstColumn="1" w:lastColumn="0" w:noHBand="0" w:noVBand="1"/>
      </w:tblPr>
      <w:tblGrid>
        <w:gridCol w:w="698"/>
        <w:gridCol w:w="1184"/>
        <w:gridCol w:w="7281"/>
      </w:tblGrid>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技术要求</w:t>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疫苗智能电子标签系统</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疫苗存储的安全是接种安全的重要环节，通过疫苗流通将所需疫苗配送到相应地点，工作人员将疫苗分类存储在所对应的医用冰箱内，并且按照疫苗的批号、品种、厂家、效期等信息打印或者</w:t>
            </w:r>
            <w:r>
              <w:rPr>
                <w:rFonts w:ascii="宋体" w:hAnsi="宋体" w:cs="宋体"/>
                <w:color w:val="000000"/>
                <w:sz w:val="24"/>
                <w:szCs w:val="24"/>
              </w:rPr>
              <w:t xml:space="preserve">手工书写标签，张贴在冰箱内对应疫苗前方，这样的操作，容易书写、打印有误，纸张吸水性的问题，对于长期存在在冰箱内，容易破损。采用疫苗智能电子标签信息系统，使用电子标签对接省平台疫苗管理系统，扫描疫苗监管码后，疫苗对应的信息（品种、批号、厂家、效期、存储数量等）通过电子墨水展示在电子标签上，电子标签插卡式悬挂冰箱内对应疫苗前，即美观、也便于疫苗管理人员查看疫苗信息、解决原先纸质书写有误的问题，减少疫苗管理人员工作量；门诊结束后，定时自动对接省平台疫苗管理系统，疫苗数量更新，便于管理工作人员查看库存数，核对数量。</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项目通过预先设置模板直接在电子标签上进行展示，同时，在本单位疫苗库存信息发生变化时，能够自动进行库存数量更新操作。包含软件电子标签专用硬件，提供手持扫码软件，并实现对标签和基站的后台登记和管理。</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疫苗智能电子标签系统与江苏省疫苗管理系统实现数据对接，实现对疫苗标签的电子化管理，通过扫描疫苗监管码，获取疫苗相关信息，包括疫苗名称、批号、厂家、有效期、价格、库存数量等。通过预先设置模板直接在电子标签上进行展示，同时，在本单位疫苗库存信息发生变化时，能够自动进行库存数量更新操作。包含软件电子标签专用硬件和软件。</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（二）配套硬件要求</w:t>
            </w:r>
            <w:r/>
          </w:p>
          <w:tbl>
            <w:tblPr>
              <w:tblStyle w:val="740"/>
              <w:tblW w:w="70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02"/>
              <w:gridCol w:w="4907"/>
            </w:tblGrid>
            <w:tr>
              <w:trPr>
                <w:trHeight w:val="269"/>
              </w:trPr>
              <w:tc>
                <w:tcPr>
                  <w:tcW w:w="745" w:type="dxa"/>
                  <w:vAlign w:val="center"/>
                  <w:textDirection w:val="lrTb"/>
                  <w:noWrap w:val="false"/>
                </w:tcPr>
                <w:p>
                  <w:pPr>
                    <w:jc w:val="center"/>
                    <w:rPr>
                      <w:sz w:val="22"/>
                      <w:szCs w:val="22"/>
                      <w:lang w:val="zh-CN"/>
                    </w:rPr>
                  </w:pPr>
                  <w:r>
                    <w:rPr>
                      <w:rFonts w:hint="eastAsia"/>
                      <w:sz w:val="22"/>
                      <w:szCs w:val="22"/>
                      <w:lang w:val="zh-CN"/>
                    </w:rPr>
                    <w:t xml:space="preserve">序号</w:t>
                  </w:r>
                  <w:r/>
                </w:p>
              </w:tc>
              <w:tc>
                <w:tcPr>
                  <w:tcW w:w="1402" w:type="dxa"/>
                  <w:vAlign w:val="center"/>
                  <w:textDirection w:val="lrTb"/>
                  <w:noWrap w:val="false"/>
                </w:tcPr>
                <w:p>
                  <w:pPr>
                    <w:jc w:val="center"/>
                    <w:rPr>
                      <w:sz w:val="22"/>
                      <w:szCs w:val="22"/>
                      <w:lang w:val="zh-CN"/>
                    </w:rPr>
                  </w:pPr>
                  <w:r>
                    <w:rPr>
                      <w:rFonts w:hint="eastAsia"/>
                      <w:sz w:val="22"/>
                      <w:szCs w:val="22"/>
                      <w:lang w:val="zh-CN"/>
                    </w:rPr>
                    <w:t xml:space="preserve">模块名称</w:t>
                  </w:r>
                  <w:r/>
                </w:p>
              </w:tc>
              <w:tc>
                <w:tcPr>
                  <w:tcW w:w="4907" w:type="dxa"/>
                  <w:vAlign w:val="center"/>
                  <w:textDirection w:val="lrTb"/>
                  <w:noWrap w:val="false"/>
                </w:tcPr>
                <w:p>
                  <w:pPr>
                    <w:jc w:val="center"/>
                    <w:rPr>
                      <w:sz w:val="22"/>
                      <w:szCs w:val="22"/>
                      <w:lang w:val="zh-CN"/>
                    </w:rPr>
                  </w:pPr>
                  <w:r>
                    <w:rPr>
                      <w:rFonts w:hint="eastAsia"/>
                      <w:sz w:val="22"/>
                      <w:szCs w:val="22"/>
                      <w:lang w:val="zh-CN"/>
                    </w:rPr>
                    <w:t xml:space="preserve">参数配置</w:t>
                  </w:r>
                  <w:r/>
                </w:p>
              </w:tc>
            </w:tr>
            <w:tr>
              <w:trPr>
                <w:trHeight w:val="2351"/>
              </w:trPr>
              <w:tc>
                <w:tcPr>
                  <w:tcW w:w="745" w:type="dxa"/>
                  <w:vAlign w:val="center"/>
                  <w:textDirection w:val="lrTb"/>
                  <w:noWrap w:val="false"/>
                </w:tcPr>
                <w:p>
                  <w:pPr>
                    <w:jc w:val="center"/>
                    <w:rPr>
                      <w:sz w:val="22"/>
                      <w:szCs w:val="22"/>
                      <w:lang w:val="zh-CN"/>
                    </w:rPr>
                  </w:pPr>
                  <w:r>
                    <w:rPr>
                      <w:rFonts w:hint="eastAsia"/>
                      <w:sz w:val="22"/>
                      <w:szCs w:val="22"/>
                      <w:lang w:val="zh-CN"/>
                    </w:rPr>
                    <w:t xml:space="preserve">1</w:t>
                  </w:r>
                  <w:r/>
                </w:p>
              </w:tc>
              <w:tc>
                <w:tcPr>
                  <w:tcW w:w="1402" w:type="dxa"/>
                  <w:vAlign w:val="center"/>
                  <w:textDirection w:val="lrTb"/>
                  <w:noWrap w:val="false"/>
                </w:tcPr>
                <w:p>
                  <w:pPr>
                    <w:jc w:val="center"/>
                    <w:rPr>
                      <w:sz w:val="22"/>
                      <w:szCs w:val="22"/>
                      <w:lang w:val="zh-CN"/>
                    </w:rPr>
                  </w:pPr>
                  <w:r>
                    <w:rPr>
                      <w:rFonts w:hint="eastAsia"/>
                      <w:sz w:val="22"/>
                      <w:szCs w:val="22"/>
                      <w:lang w:val="zh-CN"/>
                    </w:rPr>
                    <w:t xml:space="preserve">发射基站</w:t>
                  </w:r>
                  <w:r/>
                </w:p>
              </w:tc>
              <w:tc>
                <w:tcPr>
                  <w:tcW w:w="4907" w:type="dxa"/>
                  <w:vAlign w:val="center"/>
                  <w:textDirection w:val="lrTb"/>
                  <w:noWrap w:val="false"/>
                </w:tcPr>
                <w:p>
                  <w:pPr>
                    <w:jc w:val="left"/>
                    <w:rPr>
                      <w:sz w:val="22"/>
                      <w:szCs w:val="22"/>
                      <w:lang w:val="zh-CN"/>
                    </w:rPr>
                  </w:pPr>
                  <w:r>
                    <w:rPr>
                      <w:rFonts w:hint="eastAsia"/>
                      <w:sz w:val="22"/>
                      <w:szCs w:val="22"/>
                      <w:lang w:val="zh-CN"/>
                    </w:rPr>
                    <w:t xml:space="preserve">输入电压：DC12V或POE 802.3af/at</w:t>
                  </w:r>
                  <w:r/>
                </w:p>
                <w:p>
                  <w:pPr>
                    <w:jc w:val="left"/>
                    <w:rPr>
                      <w:sz w:val="22"/>
                      <w:szCs w:val="22"/>
                      <w:lang w:val="zh-CN"/>
                    </w:rPr>
                  </w:pPr>
                  <w:r>
                    <w:rPr>
                      <w:rFonts w:hint="eastAsia"/>
                      <w:sz w:val="22"/>
                      <w:szCs w:val="22"/>
                      <w:lang w:val="zh-CN"/>
                    </w:rPr>
                    <w:t xml:space="preserve">CPU：ARM Cortex-A7 或者同等性能处理器，</w:t>
                  </w:r>
                  <w:r/>
                </w:p>
                <w:p>
                  <w:pPr>
                    <w:jc w:val="left"/>
                    <w:rPr>
                      <w:sz w:val="22"/>
                      <w:szCs w:val="22"/>
                      <w:lang w:val="zh-CN"/>
                    </w:rPr>
                  </w:pPr>
                  <w:r>
                    <w:rPr>
                      <w:rFonts w:hint="eastAsia"/>
                      <w:sz w:val="22"/>
                      <w:szCs w:val="22"/>
                      <w:lang w:val="zh-CN"/>
                    </w:rPr>
                    <w:t xml:space="preserve">存储：</w:t>
                  </w:r>
                  <w:r>
                    <w:rPr>
                      <w:rFonts w:hint="eastAsia"/>
                      <w:sz w:val="22"/>
                      <w:szCs w:val="22"/>
                    </w:rPr>
                    <w:t xml:space="preserve">≥</w:t>
                  </w:r>
                  <w:r>
                    <w:rPr>
                      <w:rFonts w:hint="eastAsia"/>
                      <w:sz w:val="22"/>
                      <w:szCs w:val="22"/>
                      <w:lang w:val="zh-CN"/>
                    </w:rPr>
                    <w:t xml:space="preserve">512MB DDR3L + 256MB NandFlash</w:t>
                  </w:r>
                  <w:r/>
                </w:p>
                <w:p>
                  <w:pPr>
                    <w:jc w:val="left"/>
                    <w:rPr>
                      <w:sz w:val="22"/>
                      <w:szCs w:val="22"/>
                      <w:lang w:val="zh-CN"/>
                    </w:rPr>
                  </w:pPr>
                  <w:r>
                    <w:rPr>
                      <w:rFonts w:hint="eastAsia"/>
                      <w:sz w:val="22"/>
                      <w:szCs w:val="22"/>
                      <w:lang w:val="zh-CN"/>
                    </w:rPr>
                    <w:t xml:space="preserve">网络：支10/100M 以太网自适应。</w:t>
                  </w:r>
                  <w:r/>
                </w:p>
                <w:p>
                  <w:pPr>
                    <w:jc w:val="left"/>
                    <w:rPr>
                      <w:sz w:val="22"/>
                      <w:szCs w:val="22"/>
                      <w:lang w:val="zh-CN"/>
                    </w:rPr>
                  </w:pPr>
                  <w:r>
                    <w:rPr>
                      <w:rFonts w:hint="eastAsia"/>
                      <w:sz w:val="22"/>
                      <w:szCs w:val="22"/>
                      <w:lang w:val="zh-CN"/>
                    </w:rPr>
                    <w:t xml:space="preserve">通讯距离：≥10米</w:t>
                  </w:r>
                  <w:r/>
                </w:p>
                <w:p>
                  <w:pPr>
                    <w:jc w:val="left"/>
                    <w:rPr>
                      <w:sz w:val="22"/>
                      <w:szCs w:val="22"/>
                      <w:lang w:val="zh-CN"/>
                    </w:rPr>
                  </w:pPr>
                  <w:r>
                    <w:rPr>
                      <w:rFonts w:hint="eastAsia"/>
                      <w:sz w:val="22"/>
                      <w:szCs w:val="22"/>
                      <w:lang w:val="zh-CN"/>
                    </w:rPr>
                    <w:t xml:space="preserve">结构材料：ABS材质</w:t>
                  </w:r>
                  <w:r/>
                </w:p>
              </w:tc>
            </w:tr>
            <w:tr>
              <w:trPr>
                <w:trHeight w:val="1839"/>
              </w:trPr>
              <w:tc>
                <w:tcPr>
                  <w:tcW w:w="745" w:type="dxa"/>
                  <w:vAlign w:val="center"/>
                  <w:textDirection w:val="lrTb"/>
                  <w:noWrap w:val="false"/>
                </w:tcPr>
                <w:p>
                  <w:pPr>
                    <w:jc w:val="center"/>
                    <w:rPr>
                      <w:sz w:val="22"/>
                      <w:szCs w:val="22"/>
                      <w:lang w:val="zh-CN"/>
                    </w:rPr>
                  </w:pPr>
                  <w:r>
                    <w:rPr>
                      <w:rFonts w:hint="eastAsia"/>
                      <w:sz w:val="22"/>
                      <w:szCs w:val="22"/>
                      <w:lang w:val="zh-CN"/>
                    </w:rPr>
                    <w:t xml:space="preserve">2</w:t>
                  </w:r>
                  <w:r/>
                </w:p>
              </w:tc>
              <w:tc>
                <w:tcPr>
                  <w:tcW w:w="1402" w:type="dxa"/>
                  <w:vAlign w:val="center"/>
                  <w:textDirection w:val="lrTb"/>
                  <w:noWrap w:val="false"/>
                </w:tcPr>
                <w:p>
                  <w:pPr>
                    <w:jc w:val="center"/>
                    <w:rPr>
                      <w:sz w:val="22"/>
                      <w:szCs w:val="22"/>
                      <w:lang w:val="zh-CN"/>
                    </w:rPr>
                  </w:pPr>
                  <w:r>
                    <w:rPr>
                      <w:rFonts w:hint="eastAsia"/>
                      <w:sz w:val="22"/>
                      <w:szCs w:val="22"/>
                      <w:lang w:val="zh-CN"/>
                    </w:rPr>
                    <w:t xml:space="preserve">电子标签</w:t>
                  </w:r>
                  <w:r/>
                </w:p>
              </w:tc>
              <w:tc>
                <w:tcPr>
                  <w:tcW w:w="4907" w:type="dxa"/>
                  <w:vAlign w:val="center"/>
                  <w:textDirection w:val="lrTb"/>
                  <w:noWrap w:val="false"/>
                </w:tcPr>
                <w:p>
                  <w:pPr>
                    <w:jc w:val="left"/>
                    <w:rPr>
                      <w:sz w:val="22"/>
                      <w:szCs w:val="22"/>
                      <w:lang w:val="zh-CN"/>
                    </w:rPr>
                  </w:pPr>
                  <w:r>
                    <w:rPr>
                      <w:rFonts w:hint="eastAsia"/>
                      <w:sz w:val="22"/>
                      <w:szCs w:val="22"/>
                      <w:lang w:val="zh-CN"/>
                    </w:rPr>
                    <w:t xml:space="preserve">尺寸规格：</w:t>
                  </w:r>
                  <w:r>
                    <w:rPr>
                      <w:rFonts w:hint="eastAsia"/>
                      <w:sz w:val="22"/>
                      <w:szCs w:val="22"/>
                    </w:rPr>
                    <w:t xml:space="preserve">≥</w:t>
                  </w:r>
                  <w:r>
                    <w:rPr>
                      <w:rFonts w:hint="eastAsia"/>
                      <w:color w:val="0000ff"/>
                      <w:sz w:val="22"/>
                      <w:szCs w:val="22"/>
                      <w:lang w:val="zh-CN"/>
                    </w:rPr>
                    <w:t xml:space="preserve">2</w:t>
                  </w:r>
                  <w:r>
                    <w:rPr>
                      <w:rFonts w:hint="eastAsia"/>
                      <w:color w:val="0000ff"/>
                      <w:sz w:val="22"/>
                      <w:szCs w:val="22"/>
                    </w:rPr>
                    <w:t xml:space="preserve">.5</w:t>
                  </w:r>
                  <w:r>
                    <w:rPr>
                      <w:rFonts w:hint="eastAsia"/>
                      <w:color w:val="0000ff"/>
                      <w:sz w:val="22"/>
                      <w:szCs w:val="22"/>
                      <w:lang w:val="zh-CN"/>
                    </w:rPr>
                    <w:t xml:space="preserve">寸电子墨水屏</w:t>
                  </w:r>
                  <w:r/>
                </w:p>
                <w:p>
                  <w:pPr>
                    <w:jc w:val="left"/>
                    <w:rPr>
                      <w:sz w:val="22"/>
                      <w:szCs w:val="22"/>
                      <w:lang w:val="zh-CN"/>
                    </w:rPr>
                  </w:pPr>
                  <w:r>
                    <w:rPr>
                      <w:rFonts w:hint="eastAsia"/>
                      <w:sz w:val="22"/>
                      <w:szCs w:val="22"/>
                      <w:lang w:val="zh-CN"/>
                    </w:rPr>
                    <w:t xml:space="preserve">有效显示区域：≥60*30</w:t>
                  </w:r>
                  <w:r/>
                </w:p>
                <w:p>
                  <w:pPr>
                    <w:jc w:val="left"/>
                    <w:rPr>
                      <w:sz w:val="22"/>
                      <w:szCs w:val="22"/>
                      <w:lang w:val="zh-CN"/>
                    </w:rPr>
                  </w:pPr>
                  <w:r>
                    <w:rPr>
                      <w:rFonts w:hint="eastAsia"/>
                      <w:sz w:val="22"/>
                      <w:szCs w:val="22"/>
                      <w:lang w:val="zh-CN"/>
                    </w:rPr>
                    <w:t xml:space="preserve">分辨率（像素）：≥250*150</w:t>
                  </w:r>
                  <w:r/>
                </w:p>
                <w:p>
                  <w:pPr>
                    <w:jc w:val="left"/>
                    <w:rPr>
                      <w:sz w:val="22"/>
                      <w:szCs w:val="22"/>
                      <w:lang w:val="zh-CN"/>
                    </w:rPr>
                  </w:pPr>
                  <w:r>
                    <w:rPr>
                      <w:rFonts w:hint="eastAsia"/>
                      <w:sz w:val="22"/>
                      <w:szCs w:val="22"/>
                      <w:lang w:val="zh-CN"/>
                    </w:rPr>
                    <w:t xml:space="preserve">显示颜色：黑白红</w:t>
                  </w:r>
                  <w:r/>
                </w:p>
                <w:p>
                  <w:pPr>
                    <w:jc w:val="left"/>
                    <w:rPr>
                      <w:sz w:val="22"/>
                      <w:szCs w:val="22"/>
                      <w:lang w:val="zh-CN"/>
                    </w:rPr>
                  </w:pPr>
                  <w:r>
                    <w:rPr>
                      <w:rFonts w:hint="eastAsia"/>
                      <w:sz w:val="22"/>
                      <w:szCs w:val="22"/>
                      <w:lang w:val="zh-CN"/>
                    </w:rPr>
                    <w:t xml:space="preserve">电池：电池寿命≥2年，支持拆卸更换</w:t>
                  </w:r>
                  <w:r/>
                </w:p>
                <w:p>
                  <w:pPr>
                    <w:jc w:val="left"/>
                    <w:rPr>
                      <w:sz w:val="22"/>
                      <w:szCs w:val="22"/>
                      <w:lang w:val="zh-CN"/>
                    </w:rPr>
                  </w:pPr>
                  <w:r>
                    <w:rPr>
                      <w:rFonts w:hint="eastAsia"/>
                      <w:sz w:val="22"/>
                      <w:szCs w:val="22"/>
                      <w:lang w:val="zh-CN"/>
                    </w:rPr>
                    <w:t xml:space="preserve">工作温湿度：0℃~40℃/45%～65% </w:t>
                  </w:r>
                  <w:r/>
                </w:p>
                <w:p>
                  <w:pPr>
                    <w:jc w:val="left"/>
                    <w:rPr>
                      <w:sz w:val="22"/>
                      <w:szCs w:val="22"/>
                      <w:lang w:val="zh-CN"/>
                    </w:rPr>
                  </w:pPr>
                  <w:r>
                    <w:rPr>
                      <w:rFonts w:hint="eastAsia"/>
                      <w:sz w:val="22"/>
                      <w:szCs w:val="22"/>
                      <w:lang w:val="zh-CN"/>
                    </w:rPr>
                    <w:t xml:space="preserve">防护等级：IP54</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170"/>
        </w:trPr>
        <w:tc>
          <w:tcPr>
            <w:tcBorders>
              <w:top w:val="single" w:color="000000" w:sz="4" w:space="0"/>
              <w:left w:val="single" w:color="000000" w:sz="4" w:space="0"/>
              <w:bottom w:val="non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non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门诊疫苗智能分发系统软件</w:t>
            </w:r>
            <w:r/>
          </w:p>
        </w:tc>
        <w:tc>
          <w:tcPr>
            <w:tcBorders>
              <w:top w:val="single" w:color="000000" w:sz="4" w:space="0"/>
              <w:left w:val="single" w:color="000000" w:sz="4" w:space="0"/>
              <w:bottom w:val="non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（一）功能要求</w:t>
            </w:r>
            <w:r/>
          </w:p>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1.门诊日疫苗从接种单位冷链大冰箱分发至接种台小冰箱过程，实现当天疫苗的智能扫描分发和核对，实现疫苗分发最末端的质控。对接省平台、预防接种客户端，精准分发疫苗、有单支、批量分发到每个接种台小冰箱内，全流程疫苗操作（疫苗分发、接收、回收、出库等）</w:t>
            </w:r>
            <w:r/>
          </w:p>
          <w:p>
            <w:pPr>
              <w:jc w:val="left"/>
              <w:widowControl/>
              <w:rPr>
                <w:rFonts w:ascii="宋体" w:hAnsi="宋体" w:cs="宋体"/>
                <w:color w:val="000000"/>
                <w:sz w:val="24"/>
                <w:szCs w:val="24"/>
                <w:lang w:bidi="ar"/>
              </w:rPr>
            </w:pPr>
            <w:r>
              <w:rPr>
                <w:rFonts w:hint="eastAsia" w:ascii="宋体" w:hAnsi="宋体" w:cs="宋体"/>
                <w:color w:val="ee0000"/>
                <w:sz w:val="24"/>
                <w:szCs w:val="24"/>
              </w:rPr>
              <w:t xml:space="preserve">▲</w:t>
            </w:r>
            <w:r>
              <w:rPr>
                <w:rFonts w:hint="eastAsia" w:ascii="宋体" w:hAnsi="宋体" w:cs="宋体"/>
                <w:color w:val="000000"/>
                <w:sz w:val="24"/>
                <w:szCs w:val="24"/>
                <w:lang w:bidi="ar"/>
              </w:rPr>
              <w:t xml:space="preserve">2.门诊日疫苗从接种单位冷链疫苗储存冰箱中，通过系统中精准分发，放置到接种台小冰箱，实现了智能分发和核对，疫苗分发最末端的质控。</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3.同时可以实现与智能分类存储小冰箱对接，系统同时支持接种台使用的普通小冰箱。</w:t>
            </w:r>
            <w:r/>
          </w:p>
        </w:tc>
      </w:tr>
      <w:tr>
        <w:trPr>
          <w:trHeight w:val="170"/>
        </w:trPr>
        <w:tc>
          <w:tcPr>
            <w:tcBorders>
              <w:top w:val="none" w:color="000000" w:sz="4" w:space="0"/>
              <w:left w:val="none" w:color="000000" w:sz="4" w:space="0"/>
              <w:bottom w:val="non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non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疫苗智能分类存储小冰箱信息系统</w:t>
            </w:r>
            <w:r/>
          </w:p>
        </w:tc>
        <w:tc>
          <w:tcPr>
            <w:tcBorders>
              <w:top w:val="none" w:color="000000" w:sz="4" w:space="0"/>
              <w:left w:val="single" w:color="000000" w:sz="4" w:space="0"/>
              <w:bottom w:val="none" w:color="000000" w:sz="4" w:space="0"/>
              <w:right w:val="non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00"/>
                <w:sz w:val="24"/>
                <w:szCs w:val="24"/>
                <w:lang w:bidi="ar"/>
              </w:rPr>
              <w:t xml:space="preserve">疫苗智能分类存储小冰箱信息系统</w:t>
            </w:r>
            <w:r>
              <w:rPr>
                <w:rFonts w:hint="eastAsia"/>
                <w:color w:val="0000ff"/>
                <w:sz w:val="24"/>
                <w:szCs w:val="24"/>
              </w:rPr>
              <w:t xml:space="preserve">与江苏省儿童预防接种客户端无缝对接</w:t>
            </w:r>
            <w:r>
              <w:rPr>
                <w:rFonts w:hint="eastAsia" w:ascii="宋体" w:hAnsi="宋体" w:cs="宋体"/>
                <w:color w:val="0000ff"/>
                <w:sz w:val="24"/>
                <w:szCs w:val="24"/>
              </w:rPr>
              <w:t xml:space="preserve">，报价中包含与上述系统的对接的所有费用。（提供承诺函并加盖供应商公章）</w:t>
            </w:r>
            <w:r>
              <w:rPr>
                <w:rFonts w:hint="eastAsia" w:ascii="宋体" w:hAnsi="宋体" w:cs="宋体"/>
                <w:color w:val="000000"/>
                <w:sz w:val="24"/>
                <w:szCs w:val="24"/>
              </w:rPr>
              <w:br/>
            </w:r>
            <w:r>
              <w:rPr>
                <w:rFonts w:hint="eastAsia" w:ascii="宋体" w:hAnsi="宋体" w:cs="宋体"/>
                <w:color w:val="000000"/>
                <w:sz w:val="24"/>
                <w:szCs w:val="24"/>
              </w:rPr>
              <w:t xml:space="preserve">（二）基本要求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实现疫苗分格存储，温度控制精准，门诊接种取苗不影响其他抽屉疫苗温度，降低疫苗温度的波动，保障疫苗存储的安全。对接省平台、预防接种客户端、疫苗分发系统，门诊疫苗登记后，接种工作人员扫描受种者预防接种证，当天接种的疫苗信息自动计算核对，并打开疫苗对应存储的抽屉格，其他疫苗存储温度稳定，保障疫苗安全，实现落实示范门诊关于每张接种台不多于四种疫苗的规范落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（三）功能要求</w:t>
            </w:r>
            <w:r/>
          </w:p>
          <w:p>
            <w:pPr>
              <w:jc w:val="left"/>
              <w:widowControl/>
              <w:rPr>
                <w:color w:val="0000ff"/>
                <w:sz w:val="24"/>
                <w:szCs w:val="24"/>
              </w:rPr>
            </w:pPr>
            <w:r>
              <w:rPr>
                <w:rFonts w:hint="eastAsia"/>
                <w:color w:val="0000ff"/>
                <w:sz w:val="24"/>
                <w:szCs w:val="24"/>
              </w:rPr>
              <w:t xml:space="preserve">实现疫苗从冷链室大冰箱智能分发至接种台小冰箱，并能够随扫描儿童接种本上的条形码自动弹出对应的储物格，实现疫苗分发、接收、回收流程一体化操作。系统需支持查看冰箱温度的波动情况，支持查看历史温度情况，进一步完善疫苗从冷链室大冰箱到接种台小冰箱最后一公里的疫苗安全问题。</w:t>
            </w:r>
            <w:r/>
          </w:p>
          <w:p>
            <w:pPr>
              <w:jc w:val="left"/>
              <w:widowControl/>
              <w:rPr>
                <w:sz w:val="24"/>
                <w:szCs w:val="24"/>
              </w:rPr>
            </w:pPr>
            <w:r>
              <w:rPr>
                <w:sz w:val="24"/>
                <w:szCs w:val="24"/>
              </w:rPr>
              <w:t xml:space="preserve">1.分类存储、减少温度波动</w:t>
            </w:r>
            <w:r/>
          </w:p>
          <w:p>
            <w:pPr>
              <w:jc w:val="left"/>
              <w:widowControl/>
              <w:rPr>
                <w:sz w:val="24"/>
                <w:szCs w:val="24"/>
              </w:rPr>
            </w:pPr>
            <w:r>
              <w:rPr>
                <w:sz w:val="24"/>
                <w:szCs w:val="24"/>
              </w:rPr>
              <w:t xml:space="preserve">支持对疫苗进行分类存储，取苗精准，同时减少温度波动，提高疫苗存储安全。</w:t>
            </w:r>
            <w:r/>
          </w:p>
          <w:p>
            <w:pPr>
              <w:jc w:val="left"/>
              <w:widowControl/>
              <w:rPr>
                <w:sz w:val="24"/>
                <w:szCs w:val="24"/>
              </w:rPr>
            </w:pPr>
            <w:r>
              <w:rPr>
                <w:sz w:val="24"/>
                <w:szCs w:val="24"/>
              </w:rPr>
              <w:t xml:space="preserve">2.支持与江苏省儿童预防接种客户端无缝对接</w:t>
            </w:r>
            <w:r/>
          </w:p>
          <w:p>
            <w:pPr>
              <w:jc w:val="left"/>
              <w:widowControl/>
              <w:rPr>
                <w:sz w:val="24"/>
                <w:szCs w:val="24"/>
              </w:rPr>
            </w:pPr>
            <w:r>
              <w:rPr>
                <w:sz w:val="24"/>
                <w:szCs w:val="24"/>
              </w:rPr>
              <w:t xml:space="preserve">支持与江苏省儿童预防接种客户端无缝对接，将系统中的疫苗分发至接种台小冰箱全过程，能实现智能分发和核对，实现疫苗分发最末端质控的系统功能。</w:t>
            </w:r>
            <w:r/>
          </w:p>
          <w:p>
            <w:pPr>
              <w:jc w:val="left"/>
              <w:widowControl/>
              <w:rPr>
                <w:sz w:val="24"/>
                <w:szCs w:val="24"/>
              </w:rPr>
            </w:pPr>
            <w:r>
              <w:rPr>
                <w:sz w:val="24"/>
                <w:szCs w:val="24"/>
              </w:rPr>
              <w:t xml:space="preserve">3.支持随客户端扫码自动弹出储物格</w:t>
            </w:r>
            <w:r/>
          </w:p>
          <w:p>
            <w:pPr>
              <w:jc w:val="left"/>
              <w:widowControl/>
              <w:rPr>
                <w:color w:val="0000ff"/>
                <w:sz w:val="24"/>
                <w:szCs w:val="24"/>
              </w:rPr>
            </w:pPr>
            <w:r>
              <w:rPr>
                <w:color w:val="0000ff"/>
                <w:sz w:val="24"/>
                <w:szCs w:val="24"/>
              </w:rPr>
              <w:t xml:space="preserve">在扫描接种证条码后，该儿童在预防接种信息子系统预登记的疫苗对应抽屉会自动弹出。</w:t>
            </w:r>
            <w:r/>
          </w:p>
          <w:p>
            <w:pPr>
              <w:jc w:val="left"/>
              <w:widowControl/>
              <w:rPr>
                <w:sz w:val="24"/>
                <w:szCs w:val="24"/>
              </w:rPr>
            </w:pPr>
            <w:r>
              <w:rPr>
                <w:sz w:val="24"/>
                <w:szCs w:val="24"/>
              </w:rPr>
              <w:t xml:space="preserve">4.支持与江苏省儿童预防接种客户端中疫苗的数量同步使用</w:t>
            </w:r>
            <w:r/>
          </w:p>
          <w:p>
            <w:pPr>
              <w:jc w:val="left"/>
              <w:widowControl/>
              <w:rPr>
                <w:sz w:val="24"/>
                <w:szCs w:val="24"/>
              </w:rPr>
            </w:pPr>
            <w:r>
              <w:rPr>
                <w:sz w:val="24"/>
                <w:szCs w:val="24"/>
              </w:rPr>
              <w:t xml:space="preserve">支持与江苏省儿童预防接种客户端无缝对接，将疫苗子系统的数据能同步过来使用。</w:t>
            </w:r>
            <w:r/>
          </w:p>
          <w:p>
            <w:pPr>
              <w:jc w:val="left"/>
              <w:widowControl/>
              <w:rPr>
                <w:sz w:val="24"/>
                <w:szCs w:val="24"/>
              </w:rPr>
            </w:pPr>
            <w:r>
              <w:rPr>
                <w:sz w:val="24"/>
                <w:szCs w:val="24"/>
              </w:rPr>
              <w:t xml:space="preserve">5.支持小冰箱屏幕显示、库存同步</w:t>
            </w:r>
            <w:r/>
          </w:p>
          <w:p>
            <w:pPr>
              <w:jc w:val="left"/>
              <w:widowControl/>
              <w:rPr>
                <w:sz w:val="24"/>
                <w:szCs w:val="24"/>
              </w:rPr>
            </w:pPr>
            <w:r>
              <w:rPr>
                <w:sz w:val="24"/>
                <w:szCs w:val="24"/>
              </w:rPr>
              <w:t xml:space="preserve">支持显示对应的储物格存储的疫苗类型以及数量，并能随使用情况自动增减。</w:t>
            </w:r>
            <w:r/>
          </w:p>
          <w:p>
            <w:pPr>
              <w:jc w:val="left"/>
              <w:widowControl/>
              <w:rPr>
                <w:sz w:val="24"/>
                <w:szCs w:val="24"/>
              </w:rPr>
            </w:pPr>
            <w:r>
              <w:rPr>
                <w:sz w:val="24"/>
                <w:szCs w:val="24"/>
              </w:rPr>
              <w:t xml:space="preserve">6.支持配置默认数量、方便快速分发</w:t>
            </w:r>
            <w:r/>
          </w:p>
          <w:p>
            <w:pPr>
              <w:jc w:val="left"/>
              <w:widowControl/>
              <w:rPr>
                <w:sz w:val="24"/>
                <w:szCs w:val="24"/>
              </w:rPr>
            </w:pPr>
            <w:r>
              <w:rPr>
                <w:sz w:val="24"/>
                <w:szCs w:val="24"/>
              </w:rPr>
              <w:t xml:space="preserve">支持预设每次默认取苗的固定数量，方便日常操作。</w:t>
            </w:r>
            <w:r/>
          </w:p>
          <w:p>
            <w:pPr>
              <w:jc w:val="left"/>
              <w:widowControl/>
              <w:rPr>
                <w:sz w:val="24"/>
                <w:szCs w:val="24"/>
              </w:rPr>
            </w:pPr>
            <w:r>
              <w:rPr>
                <w:rFonts w:hint="eastAsia" w:ascii="宋体" w:hAnsi="宋体" w:cs="宋体"/>
                <w:color w:val="ee0000"/>
                <w:sz w:val="24"/>
                <w:szCs w:val="24"/>
              </w:rPr>
              <w:t xml:space="preserve">▲</w:t>
            </w:r>
            <w:r>
              <w:rPr>
                <w:sz w:val="24"/>
                <w:szCs w:val="24"/>
              </w:rPr>
              <w:t xml:space="preserve">7.支持配置默认位置、方便快速分发</w:t>
            </w:r>
            <w:r/>
          </w:p>
          <w:p>
            <w:pPr>
              <w:jc w:val="left"/>
              <w:widowControl/>
              <w:rPr>
                <w:sz w:val="24"/>
                <w:szCs w:val="24"/>
              </w:rPr>
            </w:pPr>
            <w:r>
              <w:rPr>
                <w:sz w:val="24"/>
                <w:szCs w:val="24"/>
              </w:rPr>
              <w:t xml:space="preserve">支持默认上次存储疫苗的储物格，并可以修改，方便日常操作。</w:t>
            </w:r>
            <w:r>
              <w:rPr>
                <w:rFonts w:hint="eastAsia" w:ascii="宋体" w:hAnsi="宋体" w:cs="宋体"/>
                <w:color w:val="ee0000"/>
                <w:sz w:val="24"/>
                <w:szCs w:val="24"/>
                <w:lang w:bidi="ar"/>
              </w:rPr>
              <w:t xml:space="preserve">（提供系统截图并加盖供应商公章）</w:t>
            </w:r>
            <w:r/>
          </w:p>
          <w:p>
            <w:pPr>
              <w:jc w:val="left"/>
              <w:widowControl/>
              <w:rPr>
                <w:sz w:val="24"/>
                <w:szCs w:val="24"/>
              </w:rPr>
            </w:pPr>
            <w:r>
              <w:rPr>
                <w:sz w:val="24"/>
                <w:szCs w:val="24"/>
              </w:rPr>
              <w:t xml:space="preserve">8.支持疫苗回收全过程</w:t>
            </w:r>
            <w:r/>
          </w:p>
          <w:p>
            <w:pPr>
              <w:jc w:val="left"/>
              <w:widowControl/>
              <w:rPr>
                <w:sz w:val="24"/>
                <w:szCs w:val="24"/>
              </w:rPr>
            </w:pPr>
            <w:r>
              <w:rPr>
                <w:sz w:val="24"/>
                <w:szCs w:val="24"/>
              </w:rPr>
              <w:t xml:space="preserve">支持剩余疫苗回收的全流程功能。</w:t>
            </w:r>
            <w:r/>
          </w:p>
          <w:p>
            <w:pPr>
              <w:jc w:val="left"/>
              <w:widowControl/>
              <w:rPr>
                <w:sz w:val="24"/>
                <w:szCs w:val="24"/>
              </w:rPr>
            </w:pPr>
            <w:r>
              <w:rPr>
                <w:sz w:val="24"/>
                <w:szCs w:val="24"/>
              </w:rPr>
              <w:t xml:space="preserve">9.支持查询历史发送明细</w:t>
            </w:r>
            <w:r/>
          </w:p>
          <w:p>
            <w:pPr>
              <w:jc w:val="left"/>
              <w:widowControl/>
              <w:rPr>
                <w:sz w:val="24"/>
                <w:szCs w:val="24"/>
              </w:rPr>
            </w:pPr>
            <w:r>
              <w:rPr>
                <w:sz w:val="24"/>
                <w:szCs w:val="24"/>
              </w:rPr>
              <w:t xml:space="preserve">支持查询历史的分发明细。</w:t>
            </w:r>
            <w:r/>
          </w:p>
          <w:p>
            <w:pPr>
              <w:jc w:val="left"/>
              <w:widowControl/>
              <w:rPr>
                <w:sz w:val="24"/>
                <w:szCs w:val="24"/>
              </w:rPr>
            </w:pPr>
            <w:r>
              <w:rPr>
                <w:sz w:val="24"/>
                <w:szCs w:val="24"/>
              </w:rPr>
              <w:t xml:space="preserve">10.支持多种分发类型</w:t>
            </w:r>
            <w:r/>
          </w:p>
          <w:p>
            <w:pPr>
              <w:jc w:val="left"/>
              <w:widowControl/>
              <w:rPr>
                <w:sz w:val="24"/>
                <w:szCs w:val="24"/>
              </w:rPr>
            </w:pPr>
            <w:r>
              <w:rPr>
                <w:sz w:val="24"/>
                <w:szCs w:val="24"/>
              </w:rPr>
              <w:t xml:space="preserve">支持多种分发类型，支持批量分发、单苗分发功能。</w:t>
            </w:r>
            <w:r/>
          </w:p>
          <w:p>
            <w:pPr>
              <w:jc w:val="left"/>
              <w:widowControl/>
              <w:rPr>
                <w:sz w:val="24"/>
                <w:szCs w:val="24"/>
              </w:rPr>
            </w:pPr>
            <w:r>
              <w:rPr>
                <w:sz w:val="24"/>
                <w:szCs w:val="24"/>
              </w:rPr>
              <w:t xml:space="preserve">（</w:t>
            </w:r>
            <w:r>
              <w:rPr>
                <w:rFonts w:hint="eastAsia"/>
                <w:sz w:val="24"/>
                <w:szCs w:val="24"/>
              </w:rPr>
              <w:t xml:space="preserve">四</w:t>
            </w:r>
            <w:r>
              <w:rPr>
                <w:sz w:val="24"/>
                <w:szCs w:val="24"/>
              </w:rPr>
              <w:t xml:space="preserve">）配套硬件要求</w:t>
            </w:r>
            <w:r>
              <w:rPr>
                <w:rFonts w:hint="eastAsia"/>
                <w:sz w:val="24"/>
                <w:szCs w:val="24"/>
              </w:rPr>
              <w:t xml:space="preserve">--智能分类冰箱</w:t>
            </w:r>
            <w:r/>
          </w:p>
          <w:tbl>
            <w:tblPr>
              <w:tblStyle w:val="740"/>
              <w:tblW w:w="70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2"/>
              <w:gridCol w:w="5252"/>
            </w:tblGrid>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模块名称</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参数描述</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有效容积</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rPr>
                    <w:t xml:space="preserve">≥</w:t>
                  </w:r>
                  <w:r>
                    <w:rPr>
                      <w:rFonts w:hint="eastAsia"/>
                      <w:sz w:val="22"/>
                      <w:szCs w:val="22"/>
                      <w:lang w:val="zh-CN"/>
                    </w:rPr>
                    <w:t xml:space="preserve">70L</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温控范围</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2~8℃</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温度均匀性</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≤3℃</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温度波动值</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≤2℃</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耗电量</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≤2.5kWh/24h</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噪音</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≤45</w:t>
                  </w:r>
                  <w:r/>
                </w:p>
              </w:tc>
            </w:tr>
            <w:tr>
              <w:trPr>
                <w:trHeight w:val="437"/>
              </w:trPr>
              <w:tc>
                <w:tcPr>
                  <w:shd w:val="clear" w:color="000000" w:fill="ffffff"/>
                  <w:tcW w:w="1802" w:type="dxa"/>
                  <w:vAlign w:val="center"/>
                  <w:textDirection w:val="lrTb"/>
                  <w:noWrap w:val="false"/>
                </w:tcPr>
                <w:p>
                  <w:pPr>
                    <w:jc w:val="center"/>
                    <w:rPr>
                      <w:sz w:val="22"/>
                      <w:szCs w:val="22"/>
                      <w:lang w:val="zh-CN"/>
                    </w:rPr>
                  </w:pPr>
                  <w:r>
                    <w:rPr>
                      <w:rFonts w:hint="eastAsia"/>
                      <w:sz w:val="22"/>
                      <w:szCs w:val="22"/>
                      <w:lang w:val="zh-CN"/>
                    </w:rPr>
                    <w:t xml:space="preserve">重量</w:t>
                  </w:r>
                  <w:r/>
                </w:p>
              </w:tc>
              <w:tc>
                <w:tcPr>
                  <w:shd w:val="clear" w:color="000000" w:fill="ffffff"/>
                  <w:tcW w:w="5252" w:type="dxa"/>
                  <w:vAlign w:val="center"/>
                  <w:textDirection w:val="lrTb"/>
                  <w:noWrap w:val="false"/>
                </w:tcPr>
                <w:p>
                  <w:pPr>
                    <w:jc w:val="center"/>
                    <w:rPr>
                      <w:sz w:val="22"/>
                      <w:szCs w:val="22"/>
                      <w:lang w:val="zh-CN"/>
                    </w:rPr>
                  </w:pPr>
                  <w:r>
                    <w:rPr>
                      <w:rFonts w:hint="eastAsia"/>
                      <w:sz w:val="22"/>
                      <w:szCs w:val="22"/>
                      <w:lang w:val="zh-CN"/>
                    </w:rPr>
                    <w:t xml:space="preserve">≤80 KG</w:t>
                  </w:r>
                  <w:r/>
                </w:p>
              </w:tc>
            </w:tr>
          </w:tbl>
          <w:p>
            <w:pPr>
              <w:jc w:val="left"/>
              <w:widowControl/>
              <w:rPr>
                <w:sz w:val="24"/>
                <w:szCs w:val="24"/>
              </w:rPr>
            </w:pPr>
            <w:r>
              <w:rPr>
                <w:sz w:val="24"/>
                <w:szCs w:val="24"/>
              </w:rPr>
            </w:r>
            <w:r/>
          </w:p>
        </w:tc>
      </w:tr>
      <w:tr>
        <w:trPr>
          <w:trHeight w:val="170"/>
        </w:trPr>
        <w:tc>
          <w:tcPr>
            <w:tcBorders>
              <w:top w:val="non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预防接种工作人员信息展示系统</w:t>
            </w:r>
            <w:r/>
          </w:p>
        </w:tc>
        <w:tc>
          <w:tcPr>
            <w:tcBorders>
              <w:top w:val="non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对接预防接种人脸校验显示系统，客户端、省平台，实现预防接种门诊所有询问、登记、接种显示小屏，工作人员信息实时展示，更换工作人员后，小屏信息自动刷新展示，实现信息公开化，透明化。</w:t>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门诊指标大数据分析系统</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00"/>
                <w:sz w:val="24"/>
                <w:szCs w:val="24"/>
                <w:lang w:bidi="ar"/>
              </w:rPr>
              <w:t xml:space="preserve">门诊指标大数据分析系统</w:t>
            </w:r>
            <w:r>
              <w:rPr>
                <w:rFonts w:hint="eastAsia" w:ascii="宋体" w:hAnsi="宋体" w:cs="宋体"/>
                <w:color w:val="0000ff"/>
                <w:sz w:val="24"/>
                <w:szCs w:val="24"/>
              </w:rPr>
              <w:t xml:space="preserve">与江苏省儿童预防接种客户端无缝对接，报价中包含与上述系统的对接的所有费用。（提供承诺函并加盖供应商公章）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对接省平台（疫苗管理子系统、冷链管理子系统、预防接种客户端），利用信息化手段实时展示接种门诊当天疫苗接种服务情况，疫苗冷链存储温度情况，疫苗接种排队等候情况，门诊服务疫苗信息情况等，公开、透明，减少咨询工作量，提升百姓接种服务体验，提升预防接种门诊服务质量。</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通过Androidchars可视化图标及时呈现接种点当天儿童门诊接种各项指标情况，将门诊开展情况、疫苗登记情况、接种台开展情况、冷链冰箱温度情况展示出来，从多个维度分析门诊工作开展情况，方便对本单位工作开展情况做好指导分析工作，并能够展示给受种者，对单位工作做好监督工作。</w:t>
            </w:r>
            <w:r/>
          </w:p>
          <w:p>
            <w:pPr>
              <w:jc w:val="left"/>
              <w:widowControl/>
              <w:rPr>
                <w:rFonts w:ascii="宋体" w:hAnsi="宋体" w:cs="宋体"/>
                <w:color w:val="0000ff"/>
                <w:sz w:val="24"/>
                <w:szCs w:val="24"/>
              </w:rPr>
            </w:pPr>
            <w:r>
              <w:rPr>
                <w:rFonts w:hint="eastAsia" w:ascii="宋体" w:hAnsi="宋体" w:cs="宋体"/>
                <w:color w:val="0000ff"/>
                <w:sz w:val="24"/>
                <w:szCs w:val="24"/>
              </w:rPr>
              <w:t xml:space="preserve">（1）可以动态监测门诊开展的业务指标、成效指标和管理指标的变化情况和趋势等。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(2)支持显示门诊当天服务的儿童总数。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(3)支持显示门诊当天取号之后需要进行询问服务的儿童数。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(4)支持显示门诊当天需要进行登记免疫史服务的儿童。</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(5)支持显示门诊当天在登记台登记免疫史后尚未接种的儿童数。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(6)支持显示门诊当天在接种台确认接种后，未完成留观服务、留观合格、留观不合格的儿童数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(7)支持显示门诊当天在计免客户端软件中新建的儿童档案数。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(8)支持显示门诊当天本单位预约接种的儿童数。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(9)支持显示门诊当天在计免客户端软件中通过临时接种操作登记免疫史的儿童数。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（10）支持显示门诊当天档案归属非本单位的，但在本单位登记免疫史的儿童数。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（11）支持显示门诊当天在当天将档案归属本单位管理的儿童数。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（12）支持显示门诊当天将档案进行人工迁出操作的儿童数。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（13）支持显示门诊当天本单位管理的所有冷链设备（区分冷藏、冷冻区域），显示相应设备的实时温度、使用状态。</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（14）支持显示本单位当天管理的，可接种的疫苗。包含信息：疫苗名称、生产厂家、批号、有效期至、价格。</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00"/>
                <w:sz w:val="24"/>
                <w:szCs w:val="24"/>
              </w:rPr>
              <w:t xml:space="preserve">（15）支持显示门诊当天开展服务接种台。需包含如下信息：接种台号、接种台状态（服务中/暂停中）、接种医生姓名、待接种人数、已接种人数、人均服务耗时。</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（16）支持接种点版门诊指标大数据分析系统在有新的版本时，能够有升级提示，并能够实现自动升级。</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（三）配套硬件要求</w:t>
            </w:r>
            <w:r/>
          </w:p>
          <w:tbl>
            <w:tblPr>
              <w:tblStyle w:val="740"/>
              <w:tblW w:w="70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89"/>
              <w:gridCol w:w="5266"/>
            </w:tblGrid>
            <w:tr>
              <w:trPr>
                <w:jc w:val="center"/>
                <w:trHeight w:val="416"/>
              </w:trPr>
              <w:tc>
                <w:tcPr>
                  <w:tcBorders>
                    <w:bottom w:val="single" w:color="000000" w:sz="4" w:space="0"/>
                  </w:tcBorders>
                  <w:tcW w:w="1789" w:type="dxa"/>
                  <w:vAlign w:val="center"/>
                  <w:textDirection w:val="lrTb"/>
                  <w:noWrap w:val="false"/>
                </w:tcPr>
                <w:p>
                  <w:pPr>
                    <w:jc w:val="center"/>
                    <w:rPr>
                      <w:sz w:val="22"/>
                      <w:szCs w:val="22"/>
                      <w:lang w:val="zh-CN"/>
                    </w:rPr>
                  </w:pPr>
                  <w:r>
                    <w:rPr>
                      <w:rFonts w:hint="eastAsia"/>
                      <w:sz w:val="22"/>
                      <w:szCs w:val="22"/>
                      <w:lang w:val="zh-CN"/>
                    </w:rPr>
                    <w:t xml:space="preserve">模块名称</w:t>
                  </w:r>
                  <w:r/>
                </w:p>
              </w:tc>
              <w:tc>
                <w:tcPr>
                  <w:tcW w:w="5266" w:type="dxa"/>
                  <w:vAlign w:val="center"/>
                  <w:textDirection w:val="lrTb"/>
                  <w:noWrap w:val="false"/>
                </w:tcPr>
                <w:p>
                  <w:pPr>
                    <w:jc w:val="center"/>
                    <w:rPr>
                      <w:sz w:val="22"/>
                      <w:szCs w:val="22"/>
                      <w:lang w:val="zh-CN"/>
                    </w:rPr>
                  </w:pPr>
                  <w:r>
                    <w:rPr>
                      <w:rFonts w:hint="eastAsia"/>
                      <w:sz w:val="22"/>
                      <w:szCs w:val="22"/>
                      <w:lang w:val="zh-CN"/>
                    </w:rPr>
                    <w:t xml:space="preserve">参数描述</w:t>
                  </w:r>
                  <w:r/>
                </w:p>
              </w:tc>
            </w:tr>
            <w:tr>
              <w:trPr>
                <w:jc w:val="center"/>
                <w:trHeight w:val="918"/>
              </w:trPr>
              <w:tc>
                <w:tcPr>
                  <w:tcW w:w="1789" w:type="dxa"/>
                  <w:vAlign w:val="center"/>
                  <w:textDirection w:val="lrTb"/>
                  <w:noWrap w:val="false"/>
                </w:tcPr>
                <w:p>
                  <w:pPr>
                    <w:jc w:val="center"/>
                    <w:rPr>
                      <w:sz w:val="22"/>
                      <w:szCs w:val="22"/>
                      <w:lang w:val="zh-CN"/>
                    </w:rPr>
                  </w:pPr>
                  <w:r>
                    <w:rPr>
                      <w:rFonts w:hint="eastAsia"/>
                      <w:sz w:val="22"/>
                      <w:szCs w:val="22"/>
                      <w:lang w:val="zh-CN"/>
                    </w:rPr>
                    <w:t xml:space="preserve">显示部分</w:t>
                  </w:r>
                  <w:r/>
                </w:p>
              </w:tc>
              <w:tc>
                <w:tcPr>
                  <w:tcW w:w="5266" w:type="dxa"/>
                  <w:textDirection w:val="lrTb"/>
                  <w:noWrap w:val="false"/>
                </w:tcPr>
                <w:p>
                  <w:pPr>
                    <w:jc w:val="center"/>
                    <w:rPr>
                      <w:sz w:val="22"/>
                      <w:szCs w:val="22"/>
                      <w:lang w:val="zh-CN"/>
                    </w:rPr>
                  </w:pPr>
                  <w:r>
                    <w:rPr>
                      <w:rFonts w:hint="eastAsia"/>
                      <w:sz w:val="22"/>
                      <w:szCs w:val="22"/>
                      <w:lang w:val="zh-CN"/>
                    </w:rPr>
                    <w:t xml:space="preserve">≥70”A+ 液晶模组</w:t>
                  </w:r>
                  <w:r/>
                </w:p>
                <w:p>
                  <w:pPr>
                    <w:jc w:val="center"/>
                    <w:rPr>
                      <w:sz w:val="22"/>
                      <w:szCs w:val="22"/>
                      <w:lang w:val="zh-CN"/>
                    </w:rPr>
                  </w:pPr>
                  <w:r>
                    <w:rPr>
                      <w:rFonts w:hint="eastAsia"/>
                      <w:sz w:val="22"/>
                      <w:szCs w:val="22"/>
                      <w:lang w:val="zh-CN"/>
                    </w:rPr>
                    <w:t xml:space="preserve">亮度：≥350cd/m² </w:t>
                  </w:r>
                  <w:r/>
                </w:p>
                <w:p>
                  <w:pPr>
                    <w:jc w:val="center"/>
                    <w:rPr>
                      <w:sz w:val="22"/>
                      <w:szCs w:val="22"/>
                      <w:lang w:val="zh-CN"/>
                    </w:rPr>
                  </w:pPr>
                  <w:r>
                    <w:rPr>
                      <w:rFonts w:hint="eastAsia"/>
                      <w:sz w:val="22"/>
                      <w:szCs w:val="22"/>
                      <w:lang w:val="zh-CN"/>
                    </w:rPr>
                    <w:t xml:space="preserve">平均故障间隔时间：40.000工业标准</w:t>
                  </w:r>
                  <w:r/>
                </w:p>
                <w:p>
                  <w:pPr>
                    <w:jc w:val="center"/>
                    <w:rPr>
                      <w:sz w:val="22"/>
                      <w:szCs w:val="22"/>
                      <w:lang w:val="zh-CN"/>
                    </w:rPr>
                  </w:pPr>
                  <w:r>
                    <w:rPr>
                      <w:rFonts w:hint="eastAsia"/>
                      <w:sz w:val="22"/>
                      <w:szCs w:val="22"/>
                      <w:lang w:val="zh-CN"/>
                    </w:rPr>
                    <w:t xml:space="preserve">最大分辨率≥1920×1080</w:t>
                  </w:r>
                  <w:r/>
                </w:p>
              </w:tc>
            </w:tr>
            <w:tr>
              <w:trPr>
                <w:jc w:val="center"/>
                <w:trHeight w:val="1590"/>
              </w:trPr>
              <w:tc>
                <w:tcPr>
                  <w:tcW w:w="1789" w:type="dxa"/>
                  <w:vAlign w:val="center"/>
                  <w:textDirection w:val="lrTb"/>
                  <w:noWrap w:val="false"/>
                </w:tcPr>
                <w:p>
                  <w:pPr>
                    <w:jc w:val="center"/>
                    <w:rPr>
                      <w:sz w:val="22"/>
                      <w:szCs w:val="22"/>
                      <w:lang w:val="zh-CN"/>
                    </w:rPr>
                  </w:pPr>
                  <w:r>
                    <w:rPr>
                      <w:rFonts w:hint="eastAsia"/>
                      <w:sz w:val="22"/>
                      <w:szCs w:val="22"/>
                      <w:lang w:val="zh-CN"/>
                    </w:rPr>
                    <w:t xml:space="preserve">触摸部分</w:t>
                  </w:r>
                  <w:r/>
                </w:p>
              </w:tc>
              <w:tc>
                <w:tcPr>
                  <w:tcW w:w="5266" w:type="dxa"/>
                  <w:textDirection w:val="lrTb"/>
                  <w:noWrap w:val="false"/>
                </w:tcPr>
                <w:p>
                  <w:pPr>
                    <w:jc w:val="center"/>
                    <w:rPr>
                      <w:sz w:val="22"/>
                      <w:szCs w:val="22"/>
                      <w:lang w:val="zh-CN"/>
                    </w:rPr>
                  </w:pPr>
                  <w:r>
                    <w:rPr>
                      <w:rFonts w:hint="eastAsia"/>
                      <w:sz w:val="22"/>
                      <w:szCs w:val="22"/>
                      <w:lang w:val="zh-CN"/>
                    </w:rPr>
                    <w:t xml:space="preserve">≥70” 红外真10点触摸屏</w:t>
                  </w:r>
                  <w:r/>
                </w:p>
                <w:p>
                  <w:pPr>
                    <w:jc w:val="center"/>
                    <w:rPr>
                      <w:sz w:val="22"/>
                      <w:szCs w:val="22"/>
                      <w:lang w:val="zh-CN"/>
                    </w:rPr>
                  </w:pPr>
                  <w:r>
                    <w:rPr>
                      <w:rFonts w:hint="eastAsia"/>
                      <w:sz w:val="22"/>
                      <w:szCs w:val="22"/>
                      <w:lang w:val="zh-CN"/>
                    </w:rPr>
                    <w:t xml:space="preserve">触摸分辨率：≥32768×32768</w:t>
                  </w:r>
                  <w:r/>
                </w:p>
                <w:p>
                  <w:pPr>
                    <w:jc w:val="center"/>
                    <w:rPr>
                      <w:sz w:val="22"/>
                      <w:szCs w:val="22"/>
                      <w:lang w:val="zh-CN"/>
                    </w:rPr>
                  </w:pPr>
                  <w:r>
                    <w:rPr>
                      <w:rFonts w:hint="eastAsia"/>
                      <w:sz w:val="22"/>
                      <w:szCs w:val="22"/>
                      <w:lang w:val="zh-CN"/>
                    </w:rPr>
                    <w:t xml:space="preserve">扫描速度：&gt;100FPS</w:t>
                  </w:r>
                  <w:r/>
                </w:p>
                <w:p>
                  <w:pPr>
                    <w:jc w:val="center"/>
                    <w:rPr>
                      <w:sz w:val="22"/>
                      <w:szCs w:val="22"/>
                      <w:lang w:val="zh-CN"/>
                    </w:rPr>
                  </w:pPr>
                  <w:r>
                    <w:rPr>
                      <w:rFonts w:hint="eastAsia"/>
                      <w:sz w:val="22"/>
                      <w:szCs w:val="22"/>
                      <w:lang w:val="zh-CN"/>
                    </w:rPr>
                    <w:t xml:space="preserve">定位偏差：1 pixel 或 &lt;0.5 mm </w:t>
                  </w:r>
                  <w:r/>
                </w:p>
                <w:p>
                  <w:pPr>
                    <w:jc w:val="center"/>
                    <w:rPr>
                      <w:sz w:val="22"/>
                      <w:szCs w:val="22"/>
                      <w:lang w:val="zh-CN"/>
                    </w:rPr>
                  </w:pPr>
                  <w:r>
                    <w:rPr>
                      <w:rFonts w:hint="eastAsia"/>
                      <w:sz w:val="22"/>
                      <w:szCs w:val="22"/>
                      <w:lang w:val="zh-CN"/>
                    </w:rPr>
                    <w:t xml:space="preserve">定位技术:塞尔光粒子技术</w:t>
                  </w:r>
                  <w:r/>
                </w:p>
              </w:tc>
            </w:tr>
            <w:tr>
              <w:trPr>
                <w:jc w:val="center"/>
                <w:trHeight w:val="455"/>
              </w:trPr>
              <w:tc>
                <w:tcPr>
                  <w:tcW w:w="1789" w:type="dxa"/>
                  <w:vAlign w:val="center"/>
                  <w:textDirection w:val="lrTb"/>
                  <w:noWrap w:val="false"/>
                </w:tcPr>
                <w:p>
                  <w:pPr>
                    <w:jc w:val="center"/>
                    <w:rPr>
                      <w:sz w:val="22"/>
                      <w:szCs w:val="22"/>
                      <w:lang w:val="zh-CN"/>
                    </w:rPr>
                  </w:pPr>
                  <w:r>
                    <w:rPr>
                      <w:rFonts w:hint="eastAsia"/>
                      <w:sz w:val="22"/>
                      <w:szCs w:val="22"/>
                      <w:lang w:val="zh-CN"/>
                    </w:rPr>
                    <w:t xml:space="preserve">主机配置</w:t>
                  </w:r>
                  <w:r/>
                </w:p>
              </w:tc>
              <w:tc>
                <w:tcPr>
                  <w:tcW w:w="5266" w:type="dxa"/>
                  <w:vAlign w:val="center"/>
                  <w:textDirection w:val="lrTb"/>
                  <w:noWrap w:val="false"/>
                </w:tcPr>
                <w:p>
                  <w:pPr>
                    <w:jc w:val="center"/>
                    <w:rPr>
                      <w:sz w:val="22"/>
                      <w:szCs w:val="22"/>
                      <w:lang w:val="zh-CN"/>
                    </w:rPr>
                  </w:pPr>
                  <w:r>
                    <w:rPr>
                      <w:rFonts w:hint="eastAsia"/>
                      <w:sz w:val="22"/>
                      <w:szCs w:val="22"/>
                    </w:rPr>
                    <w:t xml:space="preserve">不低于</w:t>
                  </w:r>
                  <w:r>
                    <w:rPr>
                      <w:rFonts w:hint="eastAsia"/>
                      <w:sz w:val="22"/>
                      <w:szCs w:val="22"/>
                      <w:lang w:val="zh-CN"/>
                    </w:rPr>
                    <w:t xml:space="preserve">内存4G+32G存储</w:t>
                  </w:r>
                  <w:r/>
                </w:p>
              </w:tc>
            </w:tr>
            <w:tr>
              <w:trPr>
                <w:jc w:val="center"/>
                <w:trHeight w:val="455"/>
              </w:trPr>
              <w:tc>
                <w:tcPr>
                  <w:tcW w:w="1789" w:type="dxa"/>
                  <w:vAlign w:val="center"/>
                  <w:textDirection w:val="lrTb"/>
                  <w:noWrap w:val="false"/>
                </w:tcPr>
                <w:p>
                  <w:pPr>
                    <w:jc w:val="center"/>
                    <w:rPr>
                      <w:sz w:val="22"/>
                      <w:szCs w:val="22"/>
                      <w:lang w:val="zh-CN"/>
                    </w:rPr>
                  </w:pPr>
                  <w:r>
                    <w:rPr>
                      <w:rFonts w:hint="eastAsia"/>
                      <w:sz w:val="22"/>
                      <w:szCs w:val="22"/>
                      <w:lang w:val="zh-CN"/>
                    </w:rPr>
                    <w:t xml:space="preserve">接口</w:t>
                  </w:r>
                  <w:r/>
                </w:p>
              </w:tc>
              <w:tc>
                <w:tcPr>
                  <w:tcW w:w="5266" w:type="dxa"/>
                  <w:vAlign w:val="center"/>
                  <w:textDirection w:val="lrTb"/>
                  <w:noWrap w:val="false"/>
                </w:tcPr>
                <w:p>
                  <w:pPr>
                    <w:jc w:val="center"/>
                    <w:rPr>
                      <w:sz w:val="22"/>
                      <w:szCs w:val="22"/>
                      <w:lang w:val="zh-CN"/>
                    </w:rPr>
                  </w:pPr>
                  <w:r>
                    <w:rPr>
                      <w:rFonts w:hint="eastAsia"/>
                      <w:sz w:val="22"/>
                      <w:szCs w:val="22"/>
                      <w:lang w:val="zh-CN"/>
                    </w:rPr>
                    <w:t xml:space="preserve">USB*2、HDMI*1等；内置控制板、音箱、排风扇</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预防接种自助服务系统</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00"/>
                <w:sz w:val="24"/>
                <w:szCs w:val="24"/>
                <w:lang w:bidi="ar"/>
              </w:rPr>
              <w:t xml:space="preserve">预防接种自助服务系统</w:t>
            </w:r>
            <w:r>
              <w:rPr>
                <w:rFonts w:hint="eastAsia" w:ascii="宋体" w:hAnsi="宋体" w:cs="宋体"/>
                <w:color w:val="0000ff"/>
                <w:sz w:val="24"/>
                <w:szCs w:val="24"/>
              </w:rPr>
              <w:t xml:space="preserve">与预防接种客户端、省平台入托入学子系统无缝对接，报价中包含与上述系统的对接的所有费用。（提供承诺函并加盖供应商公章）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（二）基本要求</w:t>
            </w:r>
            <w:r/>
          </w:p>
          <w:p>
            <w:pPr>
              <w:jc w:val="left"/>
              <w:widowControl/>
              <w:rPr>
                <w:rFonts w:ascii="宋体" w:hAnsi="宋体" w:cs="宋体"/>
                <w:color w:val="0000ff"/>
                <w:sz w:val="24"/>
                <w:szCs w:val="24"/>
              </w:rPr>
            </w:pPr>
            <w:r>
              <w:rPr>
                <w:rFonts w:hint="eastAsia" w:ascii="宋体" w:hAnsi="宋体" w:cs="宋体"/>
                <w:color w:val="000000"/>
                <w:sz w:val="24"/>
                <w:szCs w:val="24"/>
                <w:lang w:bidi="ar"/>
              </w:rPr>
              <w:t xml:space="preserve">预防接种自助服务系统</w:t>
            </w:r>
            <w:r>
              <w:rPr>
                <w:rFonts w:hint="eastAsia" w:ascii="宋体" w:hAnsi="宋体" w:cs="宋体"/>
                <w:color w:val="0000ff"/>
                <w:sz w:val="24"/>
                <w:szCs w:val="24"/>
              </w:rPr>
              <w:t xml:space="preserve">包括预防接种信息自助查询、自助接种非免规疫苗缴费，以及预防接种自助服务系统的实施和培训，落实国家疾控关于简化门诊收费流程，提供自助缴费的要求落地，受种者自助查询，修改预防接种信息，打印入托入学查验信息，减少门诊工作人员工作量，提升百姓服务体验，提高门诊服务质量。</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（三）功能要求</w:t>
            </w:r>
            <w:r/>
          </w:p>
          <w:p>
            <w:pPr>
              <w:jc w:val="left"/>
              <w:widowControl/>
              <w:rPr>
                <w:rFonts w:ascii="宋体" w:hAnsi="宋体" w:cs="宋体"/>
                <w:color w:val="000000"/>
                <w:sz w:val="24"/>
                <w:szCs w:val="24"/>
              </w:rPr>
            </w:pPr>
            <w:r>
              <w:rPr>
                <w:rFonts w:ascii="宋体" w:hAnsi="宋体" w:cs="宋体"/>
                <w:color w:val="000000"/>
                <w:sz w:val="24"/>
                <w:szCs w:val="24"/>
              </w:rPr>
              <w:t xml:space="preserve">预防接种自助服务系统主要方便受种者在设备自行打印入学入托接种查验评价单和接种证明，通过信息化的手段来优化打印入学入托查验评价单的流程，较大的减轻了社区医务工作者的工作量，提高了工作效率，也方便了受种者，提升了群众的满意度。</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ascii="宋体" w:hAnsi="宋体" w:cs="宋体"/>
                <w:color w:val="000000"/>
                <w:sz w:val="24"/>
                <w:szCs w:val="24"/>
              </w:rPr>
              <w:t xml:space="preserve">（1）受种者扫描接种本条形码，可调阅儿童档案，其中包括儿童姓名，生日，住址等基本信息以及接种的疫苗品种、剂次、接种时间、生产企业、接种医生、接种单位等免疫史信息。</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ascii="宋体" w:hAnsi="宋体" w:cs="宋体"/>
                <w:color w:val="000000"/>
                <w:sz w:val="24"/>
                <w:szCs w:val="24"/>
              </w:rPr>
              <w:t xml:space="preserve">（2）系统根据当前儿童年龄，对常规免疫疫苗完成情况进行评估，评估结果有已完成，未完成需补种，未完成无需补种等。</w:t>
            </w:r>
            <w:r/>
          </w:p>
          <w:p>
            <w:pPr>
              <w:jc w:val="left"/>
              <w:widowControl/>
              <w:rPr>
                <w:rFonts w:ascii="宋体" w:hAnsi="宋体" w:cs="宋体"/>
                <w:color w:val="000000"/>
                <w:sz w:val="24"/>
                <w:szCs w:val="24"/>
              </w:rPr>
            </w:pPr>
            <w:r>
              <w:rPr>
                <w:rFonts w:ascii="宋体" w:hAnsi="宋体" w:cs="宋体"/>
                <w:color w:val="000000"/>
                <w:sz w:val="24"/>
                <w:szCs w:val="24"/>
              </w:rPr>
              <w:t xml:space="preserve">（3）支持在市内其他地区接种的儿童均可进行调阅和打印。</w:t>
            </w:r>
            <w:r/>
          </w:p>
          <w:p>
            <w:pPr>
              <w:jc w:val="left"/>
              <w:widowControl/>
              <w:rPr>
                <w:rFonts w:ascii="宋体" w:hAnsi="宋体" w:cs="宋体"/>
                <w:color w:val="000000"/>
                <w:sz w:val="24"/>
                <w:szCs w:val="24"/>
              </w:rPr>
            </w:pPr>
            <w:r>
              <w:rPr>
                <w:rFonts w:ascii="宋体" w:hAnsi="宋体" w:cs="宋体"/>
                <w:color w:val="000000"/>
                <w:sz w:val="24"/>
                <w:szCs w:val="24"/>
              </w:rPr>
              <w:t xml:space="preserve">（4）系统支持打印防伪水印的功能，支持防伪。</w:t>
            </w:r>
            <w:r/>
          </w:p>
          <w:p>
            <w:pPr>
              <w:jc w:val="left"/>
              <w:widowControl/>
              <w:rPr>
                <w:rFonts w:ascii="宋体" w:hAnsi="宋体" w:cs="宋体"/>
                <w:color w:val="000000"/>
                <w:sz w:val="24"/>
                <w:szCs w:val="24"/>
              </w:rPr>
            </w:pPr>
            <w:r>
              <w:rPr>
                <w:rFonts w:ascii="宋体" w:hAnsi="宋体" w:cs="宋体"/>
                <w:color w:val="000000"/>
                <w:sz w:val="24"/>
                <w:szCs w:val="24"/>
              </w:rPr>
              <w:t xml:space="preserve">（5）系统支持打印出的入学入托评价单具有条码功能，方便查验系统快速入学操作。</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ascii="宋体" w:hAnsi="宋体" w:cs="宋体"/>
                <w:color w:val="000000"/>
                <w:sz w:val="24"/>
                <w:szCs w:val="24"/>
              </w:rPr>
              <w:t xml:space="preserve">（6）系统支持补打接种证明，方便出国儿童或丢失接种证儿童补打证明。</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ascii="宋体" w:hAnsi="宋体" w:cs="宋体"/>
                <w:color w:val="000000"/>
                <w:sz w:val="24"/>
                <w:szCs w:val="24"/>
              </w:rPr>
              <w:t xml:space="preserve">（7）预防接种自助服务系统在有新的版本时，能够有升级提示，并能够实现自动升级。</w:t>
            </w:r>
            <w:r/>
          </w:p>
          <w:p>
            <w:pPr>
              <w:jc w:val="left"/>
              <w:widowControl/>
              <w:rPr>
                <w:rFonts w:ascii="宋体" w:hAnsi="宋体" w:cs="宋体"/>
                <w:color w:val="000000"/>
                <w:sz w:val="24"/>
                <w:szCs w:val="24"/>
              </w:rPr>
            </w:pPr>
            <w:r>
              <w:rPr>
                <w:rFonts w:ascii="宋体" w:hAnsi="宋体" w:cs="宋体"/>
                <w:color w:val="000000"/>
                <w:sz w:val="24"/>
                <w:szCs w:val="24"/>
              </w:rPr>
              <w:t xml:space="preserve">(8) 实现疫苗接种自助缴费，预防接种门诊收费疫苗登记后，在终端受种者（监护人）自助完成缴费。</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（四）配套硬件要求</w:t>
            </w:r>
            <w:r/>
          </w:p>
          <w:tbl>
            <w:tblPr>
              <w:tblStyle w:val="740"/>
              <w:tblW w:w="70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561"/>
              <w:gridCol w:w="4621"/>
            </w:tblGrid>
            <w:tr>
              <w:trPr/>
              <w:tc>
                <w:tcPr>
                  <w:tcW w:w="869" w:type="dxa"/>
                  <w:vAlign w:val="center"/>
                  <w:textDirection w:val="lrTb"/>
                  <w:noWrap w:val="false"/>
                </w:tcPr>
                <w:p>
                  <w:pPr>
                    <w:jc w:val="center"/>
                    <w:rPr>
                      <w:sz w:val="22"/>
                      <w:szCs w:val="22"/>
                      <w:lang w:val="zh-CN"/>
                    </w:rPr>
                  </w:pPr>
                  <w:r>
                    <w:rPr>
                      <w:rFonts w:hint="eastAsia"/>
                      <w:sz w:val="22"/>
                      <w:szCs w:val="22"/>
                      <w:lang w:val="zh-CN"/>
                    </w:rPr>
                    <w:t xml:space="preserve">序号</w:t>
                  </w:r>
                  <w:r/>
                </w:p>
              </w:tc>
              <w:tc>
                <w:tcPr>
                  <w:tcW w:w="1561" w:type="dxa"/>
                  <w:vAlign w:val="center"/>
                  <w:textDirection w:val="lrTb"/>
                  <w:noWrap w:val="false"/>
                </w:tcPr>
                <w:p>
                  <w:pPr>
                    <w:jc w:val="center"/>
                    <w:rPr>
                      <w:sz w:val="22"/>
                      <w:szCs w:val="22"/>
                      <w:lang w:val="zh-CN"/>
                    </w:rPr>
                  </w:pPr>
                  <w:r>
                    <w:rPr>
                      <w:rFonts w:hint="eastAsia"/>
                      <w:sz w:val="22"/>
                      <w:szCs w:val="22"/>
                      <w:lang w:val="zh-CN"/>
                    </w:rPr>
                    <w:t xml:space="preserve">模块名称</w:t>
                  </w:r>
                  <w:r/>
                </w:p>
              </w:tc>
              <w:tc>
                <w:tcPr>
                  <w:tcW w:w="4621" w:type="dxa"/>
                  <w:vAlign w:val="center"/>
                  <w:textDirection w:val="lrTb"/>
                  <w:noWrap w:val="false"/>
                </w:tcPr>
                <w:p>
                  <w:pPr>
                    <w:jc w:val="center"/>
                    <w:rPr>
                      <w:sz w:val="22"/>
                      <w:szCs w:val="22"/>
                      <w:lang w:val="zh-CN"/>
                    </w:rPr>
                  </w:pPr>
                  <w:r>
                    <w:rPr>
                      <w:rFonts w:hint="eastAsia"/>
                      <w:sz w:val="22"/>
                      <w:szCs w:val="22"/>
                      <w:lang w:val="zh-CN"/>
                    </w:rPr>
                    <w:t xml:space="preserve">参数配置</w:t>
                  </w:r>
                  <w:r/>
                </w:p>
              </w:tc>
            </w:tr>
            <w:tr>
              <w:trPr/>
              <w:tc>
                <w:tcPr>
                  <w:tcW w:w="869" w:type="dxa"/>
                  <w:vAlign w:val="center"/>
                  <w:textDirection w:val="lrTb"/>
                  <w:noWrap w:val="false"/>
                </w:tcPr>
                <w:p>
                  <w:pPr>
                    <w:jc w:val="center"/>
                    <w:rPr>
                      <w:sz w:val="22"/>
                      <w:szCs w:val="22"/>
                      <w:lang w:val="zh-CN"/>
                    </w:rPr>
                  </w:pPr>
                  <w:r>
                    <w:rPr>
                      <w:rFonts w:hint="eastAsia"/>
                      <w:sz w:val="22"/>
                      <w:szCs w:val="22"/>
                      <w:lang w:val="zh-CN"/>
                    </w:rPr>
                    <w:t xml:space="preserve">1</w:t>
                  </w:r>
                  <w:r/>
                </w:p>
              </w:tc>
              <w:tc>
                <w:tcPr>
                  <w:tcW w:w="1561" w:type="dxa"/>
                  <w:vAlign w:val="center"/>
                  <w:textDirection w:val="lrTb"/>
                  <w:noWrap w:val="false"/>
                </w:tcPr>
                <w:p>
                  <w:pPr>
                    <w:jc w:val="center"/>
                    <w:rPr>
                      <w:sz w:val="22"/>
                      <w:szCs w:val="22"/>
                      <w:lang w:val="zh-CN"/>
                    </w:rPr>
                  </w:pPr>
                  <w:r>
                    <w:rPr>
                      <w:rFonts w:hint="eastAsia"/>
                      <w:sz w:val="22"/>
                      <w:szCs w:val="22"/>
                      <w:lang w:val="zh-CN"/>
                    </w:rPr>
                    <w:t xml:space="preserve">显示器</w:t>
                  </w:r>
                  <w:r/>
                </w:p>
              </w:tc>
              <w:tc>
                <w:tcPr>
                  <w:tcW w:w="4621" w:type="dxa"/>
                  <w:vAlign w:val="center"/>
                  <w:textDirection w:val="lrTb"/>
                  <w:noWrap w:val="false"/>
                </w:tcPr>
                <w:p>
                  <w:pPr>
                    <w:jc w:val="left"/>
                    <w:rPr>
                      <w:sz w:val="22"/>
                      <w:szCs w:val="22"/>
                      <w:lang w:val="zh-CN"/>
                    </w:rPr>
                  </w:pPr>
                  <w:r>
                    <w:rPr>
                      <w:rFonts w:hint="eastAsia"/>
                      <w:sz w:val="22"/>
                      <w:szCs w:val="22"/>
                    </w:rPr>
                    <w:t xml:space="preserve">≥</w:t>
                  </w:r>
                  <w:r>
                    <w:rPr>
                      <w:rFonts w:hint="eastAsia"/>
                      <w:sz w:val="22"/>
                      <w:szCs w:val="22"/>
                      <w:lang w:val="zh-CN"/>
                    </w:rPr>
                    <w:t xml:space="preserve">21寸电容10点触摸，液晶显示器色彩 16.7M，屏幕比例 16:9；分辨率</w:t>
                  </w:r>
                  <w:r>
                    <w:rPr>
                      <w:rFonts w:hint="eastAsia"/>
                      <w:sz w:val="22"/>
                      <w:szCs w:val="22"/>
                    </w:rPr>
                    <w:t xml:space="preserve">≥</w:t>
                  </w:r>
                  <w:r>
                    <w:rPr>
                      <w:rFonts w:hint="eastAsia"/>
                      <w:sz w:val="22"/>
                      <w:szCs w:val="22"/>
                      <w:lang w:val="zh-CN"/>
                    </w:rPr>
                    <w:t xml:space="preserve">1920:1080，输入输出接口类型 VGA 或 HDMI</w:t>
                  </w:r>
                  <w:r/>
                </w:p>
              </w:tc>
            </w:tr>
            <w:tr>
              <w:trPr>
                <w:trHeight w:val="409"/>
              </w:trPr>
              <w:tc>
                <w:tcPr>
                  <w:tcW w:w="869" w:type="dxa"/>
                  <w:vAlign w:val="center"/>
                  <w:textDirection w:val="lrTb"/>
                  <w:noWrap w:val="false"/>
                </w:tcPr>
                <w:p>
                  <w:pPr>
                    <w:jc w:val="center"/>
                    <w:rPr>
                      <w:sz w:val="22"/>
                      <w:szCs w:val="22"/>
                      <w:lang w:val="zh-CN"/>
                    </w:rPr>
                  </w:pPr>
                  <w:r>
                    <w:rPr>
                      <w:rFonts w:hint="eastAsia"/>
                      <w:sz w:val="22"/>
                      <w:szCs w:val="22"/>
                    </w:rPr>
                    <w:t xml:space="preserve">2</w:t>
                  </w:r>
                  <w:r/>
                </w:p>
              </w:tc>
              <w:tc>
                <w:tcPr>
                  <w:tcW w:w="1561" w:type="dxa"/>
                  <w:vAlign w:val="center"/>
                  <w:textDirection w:val="lrTb"/>
                  <w:noWrap w:val="false"/>
                </w:tcPr>
                <w:p>
                  <w:pPr>
                    <w:jc w:val="center"/>
                    <w:rPr>
                      <w:sz w:val="22"/>
                      <w:szCs w:val="22"/>
                      <w:lang w:val="zh-CN"/>
                    </w:rPr>
                  </w:pPr>
                  <w:r>
                    <w:rPr>
                      <w:rFonts w:hint="eastAsia"/>
                      <w:sz w:val="22"/>
                      <w:szCs w:val="22"/>
                      <w:lang w:val="zh-CN"/>
                    </w:rPr>
                    <w:t xml:space="preserve">二维码扫描仪</w:t>
                  </w:r>
                  <w:r/>
                </w:p>
              </w:tc>
              <w:tc>
                <w:tcPr>
                  <w:tcW w:w="4621" w:type="dxa"/>
                  <w:vAlign w:val="center"/>
                  <w:textDirection w:val="lrTb"/>
                  <w:noWrap w:val="false"/>
                </w:tcPr>
                <w:p>
                  <w:pPr>
                    <w:jc w:val="left"/>
                    <w:rPr>
                      <w:sz w:val="22"/>
                      <w:szCs w:val="22"/>
                      <w:lang w:val="zh-CN"/>
                    </w:rPr>
                  </w:pPr>
                  <w:r>
                    <w:rPr>
                      <w:rFonts w:hint="eastAsia"/>
                      <w:sz w:val="22"/>
                      <w:szCs w:val="22"/>
                      <w:lang w:val="zh-CN"/>
                    </w:rPr>
                    <w:t xml:space="preserve">自动识别标准一维码和二维码</w:t>
                  </w:r>
                  <w:r/>
                </w:p>
              </w:tc>
            </w:tr>
            <w:tr>
              <w:trPr/>
              <w:tc>
                <w:tcPr>
                  <w:tcW w:w="869" w:type="dxa"/>
                  <w:vAlign w:val="center"/>
                  <w:textDirection w:val="lrTb"/>
                  <w:noWrap w:val="false"/>
                </w:tcPr>
                <w:p>
                  <w:pPr>
                    <w:jc w:val="center"/>
                    <w:rPr>
                      <w:sz w:val="22"/>
                      <w:szCs w:val="22"/>
                      <w:lang w:val="zh-CN"/>
                    </w:rPr>
                  </w:pPr>
                  <w:r>
                    <w:rPr>
                      <w:rFonts w:hint="eastAsia"/>
                      <w:sz w:val="22"/>
                      <w:szCs w:val="22"/>
                    </w:rPr>
                    <w:t xml:space="preserve">3</w:t>
                  </w:r>
                  <w:r/>
                </w:p>
              </w:tc>
              <w:tc>
                <w:tcPr>
                  <w:tcW w:w="1561" w:type="dxa"/>
                  <w:vAlign w:val="center"/>
                  <w:textDirection w:val="lrTb"/>
                  <w:noWrap w:val="false"/>
                </w:tcPr>
                <w:p>
                  <w:pPr>
                    <w:jc w:val="center"/>
                    <w:rPr>
                      <w:sz w:val="22"/>
                      <w:szCs w:val="22"/>
                      <w:lang w:val="zh-CN"/>
                    </w:rPr>
                  </w:pPr>
                  <w:r>
                    <w:rPr>
                      <w:rFonts w:hint="eastAsia"/>
                      <w:sz w:val="22"/>
                      <w:szCs w:val="22"/>
                      <w:lang w:val="zh-CN"/>
                    </w:rPr>
                    <w:t xml:space="preserve">主机配置</w:t>
                  </w:r>
                  <w:r/>
                </w:p>
              </w:tc>
              <w:tc>
                <w:tcPr>
                  <w:tcW w:w="4621" w:type="dxa"/>
                  <w:vAlign w:val="center"/>
                  <w:textDirection w:val="lrTb"/>
                  <w:noWrap w:val="false"/>
                </w:tcPr>
                <w:p>
                  <w:pPr>
                    <w:jc w:val="left"/>
                    <w:rPr>
                      <w:sz w:val="22"/>
                      <w:szCs w:val="22"/>
                      <w:lang w:val="zh-CN"/>
                    </w:rPr>
                  </w:pPr>
                  <w:r>
                    <w:rPr>
                      <w:rFonts w:hint="eastAsia"/>
                      <w:sz w:val="22"/>
                      <w:szCs w:val="22"/>
                      <w:lang w:val="zh-CN"/>
                    </w:rPr>
                    <w:t xml:space="preserve">双核2.7CPU,工控主板，4GBDDR3内存 ，128G固态盘，网卡10-100-1000M自适应，节能开关电源（适应主板 DC 供电模式）， VGA 和 HDMI 双显示接口</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29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His系统数据对接</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ff"/>
                <w:sz w:val="24"/>
                <w:szCs w:val="24"/>
              </w:rPr>
              <w:t xml:space="preserve">中标供应商需配合采购人完成与医院HIS系统的对接工作，实现儿童和成人登记非免规疫苗后，由医院HIS系统生成缴费二维码推送至中标供应商，中标供应商在自助服务终端展示给受种者扫码查询后完成缴费，相关疫苗费用直接缴纳到医院账户。本项目仅承担预防接种系统相关开发对接费用，HIS信息系统对接费用由采购人另行承担。</w:t>
            </w:r>
            <w:r>
              <w:rPr>
                <w:rFonts w:hint="eastAsia" w:ascii="宋体" w:hAnsi="宋体" w:cs="宋体"/>
                <w:color w:val="ee0000"/>
                <w:sz w:val="24"/>
                <w:szCs w:val="24"/>
                <w:lang w:bidi="ar"/>
              </w:rPr>
              <w:t xml:space="preserve">（提供既往相关自助缴费项目的合同并加盖供应商公章）</w:t>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数字化预防接种门诊候诊显示系统（大屏）</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（一）基本要求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通过网络，无需布置HDMI高清线，实现门诊接种服务候诊显示信息系统自动升级，减少使用多屏扩展功能显示问题。疫苗登记后，接种等候大屏显示、门诊自助留观等候大屏显示，受种者听到喇叭呼叫后，根据大屏信息显示，到指定接种台完成接种；留观等候30分钟后，留观到点区域显示信息后，受种者扫码完成自助留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主要包括：询问登记岗位、接种岗位等候大屏，留观岗位的大屏显示功能，同时需包含安卓系统候诊信息显示大屏设备，支持数字化预防接种门诊候诊信息显示系统嵌入。</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（1）与询问、登记、接种岗位语音模块能够无缝协同工作；</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（2）等候大屏支持按队列或按岗位，顺序显示待服务对象名单，过号名单等；</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00"/>
                <w:sz w:val="24"/>
                <w:szCs w:val="24"/>
              </w:rPr>
              <w:t xml:space="preserve">（3）留观大屏能够显示未留观完成的受种者需留观剩余时间，提醒已经留观到点的受种者，与多媒体视频发布模块协同工作，在等候时可以播放宣教片。</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（三）配套硬件要求</w:t>
            </w:r>
            <w:r/>
          </w:p>
          <w:tbl>
            <w:tblPr>
              <w:tblStyle w:val="740"/>
              <w:tblW w:w="7064" w:type="dxa"/>
              <w:tblInd w:w="0" w:type="dxa"/>
              <w:tblLayout w:type="fixed"/>
              <w:tblCellMar>
                <w:left w:w="108" w:type="dxa"/>
                <w:top w:w="0" w:type="dxa"/>
                <w:right w:w="108" w:type="dxa"/>
                <w:bottom w:w="0" w:type="dxa"/>
              </w:tblCellMar>
              <w:tblLook w:val="04A0" w:firstRow="1" w:lastRow="0" w:firstColumn="1" w:lastColumn="0" w:noHBand="0" w:noVBand="1"/>
            </w:tblPr>
            <w:tblGrid>
              <w:gridCol w:w="2063"/>
              <w:gridCol w:w="5001"/>
            </w:tblGrid>
            <w:tr>
              <w:trPr>
                <w:trHeight w:val="405"/>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主要构成项目</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参数</w:t>
                  </w:r>
                  <w:r/>
                </w:p>
              </w:tc>
            </w:tr>
            <w:tr>
              <w:trPr>
                <w:trHeight w:val="834"/>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液晶屏</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屏幕尺寸≥ 55寸；</w:t>
                  </w:r>
                  <w:r/>
                </w:p>
                <w:p>
                  <w:pPr>
                    <w:jc w:val="center"/>
                    <w:rPr>
                      <w:sz w:val="22"/>
                      <w:szCs w:val="22"/>
                      <w:lang w:val="zh-CN"/>
                    </w:rPr>
                  </w:pPr>
                  <w:r>
                    <w:rPr>
                      <w:rFonts w:hint="eastAsia"/>
                      <w:sz w:val="22"/>
                      <w:szCs w:val="22"/>
                      <w:lang w:val="zh-CN"/>
                    </w:rPr>
                    <w:t xml:space="preserve">分辨率支持：1920*1080；</w:t>
                  </w:r>
                  <w:r/>
                </w:p>
                <w:p>
                  <w:pPr>
                    <w:jc w:val="center"/>
                    <w:rPr>
                      <w:sz w:val="22"/>
                      <w:szCs w:val="22"/>
                      <w:lang w:val="zh-CN"/>
                    </w:rPr>
                  </w:pPr>
                  <w:r>
                    <w:rPr>
                      <w:rFonts w:hint="eastAsia"/>
                      <w:sz w:val="22"/>
                      <w:szCs w:val="22"/>
                      <w:lang w:val="zh-CN"/>
                    </w:rPr>
                    <w:t xml:space="preserve">显示比例支持：16:9</w:t>
                  </w:r>
                  <w:r/>
                </w:p>
                <w:p>
                  <w:pPr>
                    <w:jc w:val="center"/>
                    <w:rPr>
                      <w:sz w:val="22"/>
                      <w:szCs w:val="22"/>
                      <w:lang w:val="zh-CN"/>
                    </w:rPr>
                  </w:pPr>
                  <w:r>
                    <w:rPr>
                      <w:rFonts w:hint="eastAsia"/>
                      <w:sz w:val="22"/>
                      <w:szCs w:val="22"/>
                      <w:lang w:val="zh-CN"/>
                    </w:rPr>
                    <w:t xml:space="preserve">显示亮度：≥ 300cd/㎡</w:t>
                  </w:r>
                  <w:r/>
                </w:p>
              </w:tc>
            </w:tr>
            <w:tr>
              <w:trPr>
                <w:trHeight w:val="762"/>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主板</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CPU:四核,≥1.0 GHz</w:t>
                  </w:r>
                  <w:r/>
                </w:p>
                <w:p>
                  <w:pPr>
                    <w:jc w:val="center"/>
                    <w:rPr>
                      <w:sz w:val="22"/>
                      <w:szCs w:val="22"/>
                      <w:lang w:val="zh-CN"/>
                    </w:rPr>
                  </w:pPr>
                  <w:r>
                    <w:rPr>
                      <w:rFonts w:hint="eastAsia"/>
                      <w:sz w:val="22"/>
                      <w:szCs w:val="22"/>
                      <w:lang w:val="zh-CN"/>
                    </w:rPr>
                    <w:t xml:space="preserve">内存：≥1.0 G</w:t>
                  </w:r>
                  <w:r/>
                </w:p>
                <w:p>
                  <w:pPr>
                    <w:jc w:val="center"/>
                    <w:rPr>
                      <w:sz w:val="22"/>
                      <w:szCs w:val="22"/>
                      <w:lang w:val="zh-CN"/>
                    </w:rPr>
                  </w:pPr>
                  <w:r>
                    <w:rPr>
                      <w:rFonts w:hint="eastAsia"/>
                      <w:sz w:val="22"/>
                      <w:szCs w:val="22"/>
                      <w:lang w:val="zh-CN"/>
                    </w:rPr>
                    <w:t xml:space="preserve">存储：≥8.0 G</w:t>
                  </w:r>
                  <w:r/>
                </w:p>
              </w:tc>
            </w:tr>
            <w:tr>
              <w:trPr>
                <w:trHeight w:val="388"/>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接口</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提供外部USB接口</w:t>
                  </w:r>
                  <w:r/>
                </w:p>
              </w:tc>
            </w:tr>
            <w:tr>
              <w:trPr>
                <w:trHeight w:val="382"/>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网络</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支持RJ45有线网络</w:t>
                  </w:r>
                  <w:r/>
                </w:p>
              </w:tc>
            </w:tr>
            <w:tr>
              <w:trPr>
                <w:trHeight w:val="337"/>
              </w:trPr>
              <w:tc>
                <w:tcPr>
                  <w:tcBorders>
                    <w:top w:val="single" w:color="000000" w:sz="4" w:space="0"/>
                    <w:left w:val="single" w:color="000000" w:sz="4" w:space="0"/>
                    <w:bottom w:val="single" w:color="000000" w:sz="4" w:space="0"/>
                    <w:right w:val="single" w:color="000000" w:sz="4" w:space="0"/>
                  </w:tcBorders>
                  <w:tcW w:w="2063" w:type="dxa"/>
                  <w:vAlign w:val="center"/>
                  <w:textDirection w:val="lrTb"/>
                  <w:noWrap w:val="false"/>
                </w:tcPr>
                <w:p>
                  <w:pPr>
                    <w:jc w:val="center"/>
                    <w:rPr>
                      <w:sz w:val="22"/>
                      <w:szCs w:val="22"/>
                      <w:lang w:val="zh-CN"/>
                    </w:rPr>
                  </w:pPr>
                  <w:r>
                    <w:rPr>
                      <w:rFonts w:hint="eastAsia"/>
                      <w:sz w:val="22"/>
                      <w:szCs w:val="22"/>
                      <w:lang w:val="zh-CN"/>
                    </w:rPr>
                    <w:t xml:space="preserve">其他</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jc w:val="center"/>
                    <w:rPr>
                      <w:sz w:val="22"/>
                      <w:szCs w:val="22"/>
                      <w:lang w:val="zh-CN"/>
                    </w:rPr>
                  </w:pPr>
                  <w:r>
                    <w:rPr>
                      <w:rFonts w:hint="eastAsia"/>
                      <w:sz w:val="22"/>
                      <w:szCs w:val="22"/>
                      <w:lang w:val="zh-CN"/>
                    </w:rPr>
                    <w:t xml:space="preserve">220V/50HZ电源供电，内置喇叭，不小于8Ω</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数字化预防接种门诊候诊显示系统（小屏）</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（一）基本要求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通过网络，无需布置HDMI高清线，实现门诊接种服务候诊显示信息系统自动升级，减少使用多屏扩展功能显示问题。询问健康筛查小屏显示、登记小屏、接种小屏显示，受种者听到喇叭呼叫，根据小屏信息显示，到指定询问台、登记台、接种台完成门诊流程。</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（二）系统功能要求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主要包括：询问登记岗位、接种岗位小屏显示功能，同时需包含安卓系统候诊信息显示小屏设备，支持数字化预防接种门诊候诊信息显示系统嵌入。</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（1）与询问、登记、接种岗位语音模块能够无缝协同工作；</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（2）询问登记岗位小屏显示功能：显示当前岗位正在服务的受种者信息，清楚的提示受种者按显示前往对应服务台；</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（3）接种台岗位小屏显示功能：显示当前岗位正在服务的受种者信息以及当天应接种疫苗，清楚的提示受种者按显示前往对应服务台并了解当天接种疫苗；</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（三）配套硬件要求</w:t>
            </w:r>
            <w:r/>
          </w:p>
          <w:tbl>
            <w:tblPr>
              <w:tblStyle w:val="740"/>
              <w:tblpPr w:horzAnchor="margin" w:tblpXSpec="left" w:vertAnchor="text" w:tblpY="53" w:leftFromText="180" w:topFromText="0" w:rightFromText="180" w:bottomFromText="0"/>
              <w:tblW w:w="6891" w:type="dxa"/>
              <w:tblInd w:w="0" w:type="dxa"/>
              <w:tblLayout w:type="fixed"/>
              <w:tblCellMar>
                <w:left w:w="108" w:type="dxa"/>
                <w:top w:w="0" w:type="dxa"/>
                <w:right w:w="108" w:type="dxa"/>
                <w:bottom w:w="0" w:type="dxa"/>
              </w:tblCellMar>
              <w:tblLook w:val="04A0" w:firstRow="1" w:lastRow="0" w:firstColumn="1" w:lastColumn="0" w:noHBand="0" w:noVBand="1"/>
            </w:tblPr>
            <w:tblGrid>
              <w:gridCol w:w="1739"/>
              <w:gridCol w:w="5152"/>
            </w:tblGrid>
            <w:tr>
              <w:trPr>
                <w:trHeight w:val="283"/>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主要构成项目</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参数</w:t>
                  </w:r>
                  <w:r/>
                </w:p>
              </w:tc>
            </w:tr>
            <w:tr>
              <w:trPr>
                <w:trHeight w:val="750"/>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液晶屏</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屏幕尺寸≥ 23寸；</w:t>
                  </w:r>
                  <w:r/>
                </w:p>
                <w:p>
                  <w:pPr>
                    <w:jc w:val="center"/>
                    <w:rPr>
                      <w:sz w:val="22"/>
                      <w:szCs w:val="22"/>
                      <w:lang w:val="zh-CN"/>
                    </w:rPr>
                  </w:pPr>
                  <w:r>
                    <w:rPr>
                      <w:rFonts w:hint="eastAsia"/>
                      <w:sz w:val="22"/>
                      <w:szCs w:val="22"/>
                      <w:lang w:val="zh-CN"/>
                    </w:rPr>
                    <w:t xml:space="preserve">分辨率支持：</w:t>
                  </w:r>
                  <w:r>
                    <w:rPr>
                      <w:rFonts w:hint="eastAsia"/>
                      <w:sz w:val="22"/>
                      <w:szCs w:val="22"/>
                    </w:rPr>
                    <w:t xml:space="preserve">≥</w:t>
                  </w:r>
                  <w:r>
                    <w:rPr>
                      <w:rFonts w:hint="eastAsia"/>
                      <w:sz w:val="22"/>
                      <w:szCs w:val="22"/>
                      <w:lang w:val="zh-CN"/>
                    </w:rPr>
                    <w:t xml:space="preserve">1920*1080；</w:t>
                  </w:r>
                  <w:r/>
                </w:p>
                <w:p>
                  <w:pPr>
                    <w:jc w:val="center"/>
                    <w:rPr>
                      <w:sz w:val="22"/>
                      <w:szCs w:val="22"/>
                      <w:lang w:val="zh-CN"/>
                    </w:rPr>
                  </w:pPr>
                  <w:r>
                    <w:rPr>
                      <w:rFonts w:hint="eastAsia"/>
                      <w:sz w:val="22"/>
                      <w:szCs w:val="22"/>
                      <w:lang w:val="zh-CN"/>
                    </w:rPr>
                    <w:t xml:space="preserve">显示比例支持：16:9</w:t>
                  </w:r>
                  <w:r/>
                </w:p>
                <w:p>
                  <w:pPr>
                    <w:jc w:val="center"/>
                    <w:rPr>
                      <w:sz w:val="22"/>
                      <w:szCs w:val="22"/>
                      <w:lang w:val="zh-CN"/>
                    </w:rPr>
                  </w:pPr>
                  <w:r>
                    <w:rPr>
                      <w:rFonts w:hint="eastAsia"/>
                      <w:sz w:val="22"/>
                      <w:szCs w:val="22"/>
                      <w:lang w:val="zh-CN"/>
                    </w:rPr>
                    <w:t xml:space="preserve">显示亮度：≥ 300cd/㎡</w:t>
                  </w:r>
                  <w:r/>
                </w:p>
              </w:tc>
            </w:tr>
            <w:tr>
              <w:trPr>
                <w:trHeight w:val="564"/>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主板</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CPU:四核,≥1.0 GHz</w:t>
                  </w:r>
                  <w:r/>
                </w:p>
                <w:p>
                  <w:pPr>
                    <w:jc w:val="center"/>
                    <w:rPr>
                      <w:sz w:val="22"/>
                      <w:szCs w:val="22"/>
                      <w:lang w:val="zh-CN"/>
                    </w:rPr>
                  </w:pPr>
                  <w:r>
                    <w:rPr>
                      <w:rFonts w:hint="eastAsia"/>
                      <w:sz w:val="22"/>
                      <w:szCs w:val="22"/>
                      <w:lang w:val="zh-CN"/>
                    </w:rPr>
                    <w:t xml:space="preserve">内存：≥1.0 G</w:t>
                  </w:r>
                  <w:r/>
                </w:p>
                <w:p>
                  <w:pPr>
                    <w:jc w:val="center"/>
                    <w:rPr>
                      <w:sz w:val="22"/>
                      <w:szCs w:val="22"/>
                      <w:lang w:val="zh-CN"/>
                    </w:rPr>
                  </w:pPr>
                  <w:r>
                    <w:rPr>
                      <w:rFonts w:hint="eastAsia"/>
                      <w:sz w:val="22"/>
                      <w:szCs w:val="22"/>
                      <w:lang w:val="zh-CN"/>
                    </w:rPr>
                    <w:t xml:space="preserve">存储：≥8.0 G</w:t>
                  </w:r>
                  <w:r/>
                </w:p>
              </w:tc>
            </w:tr>
            <w:tr>
              <w:trPr>
                <w:trHeight w:val="271"/>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接口</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提供外部USB接口，SD卡读卡器接口</w:t>
                  </w:r>
                  <w:r/>
                </w:p>
              </w:tc>
            </w:tr>
            <w:tr>
              <w:trPr>
                <w:trHeight w:val="267"/>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网络</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支持RJ45有线网络</w:t>
                  </w:r>
                  <w:r/>
                </w:p>
              </w:tc>
            </w:tr>
            <w:tr>
              <w:trPr>
                <w:trHeight w:val="243"/>
              </w:trPr>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rPr>
                      <w:sz w:val="22"/>
                      <w:szCs w:val="22"/>
                      <w:lang w:val="zh-CN"/>
                    </w:rPr>
                  </w:pPr>
                  <w:r>
                    <w:rPr>
                      <w:rFonts w:hint="eastAsia"/>
                      <w:sz w:val="22"/>
                      <w:szCs w:val="22"/>
                      <w:lang w:val="zh-CN"/>
                    </w:rPr>
                    <w:t xml:space="preserve">其他</w:t>
                  </w:r>
                  <w:r/>
                </w:p>
              </w:tc>
              <w:tc>
                <w:tcPr>
                  <w:tcBorders>
                    <w:top w:val="single" w:color="000000" w:sz="4" w:space="0"/>
                    <w:left w:val="single" w:color="000000" w:sz="4" w:space="0"/>
                    <w:bottom w:val="single" w:color="000000" w:sz="4" w:space="0"/>
                    <w:right w:val="single" w:color="000000" w:sz="4" w:space="0"/>
                  </w:tcBorders>
                  <w:tcW w:w="5152" w:type="dxa"/>
                  <w:vAlign w:val="center"/>
                  <w:textDirection w:val="lrTb"/>
                  <w:noWrap w:val="false"/>
                </w:tcPr>
                <w:p>
                  <w:pPr>
                    <w:jc w:val="center"/>
                    <w:rPr>
                      <w:sz w:val="22"/>
                      <w:szCs w:val="22"/>
                      <w:lang w:val="zh-CN"/>
                    </w:rPr>
                  </w:pPr>
                  <w:r>
                    <w:rPr>
                      <w:rFonts w:hint="eastAsia"/>
                      <w:sz w:val="22"/>
                      <w:szCs w:val="22"/>
                      <w:lang w:val="zh-CN"/>
                    </w:rPr>
                    <w:t xml:space="preserve">220V/50HZ电源供电，内置喇叭，不小于8Ω</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427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775"/>
              <w:ind w:left="0"/>
              <w:spacing w:line="276" w:lineRule="auto"/>
              <w:rPr>
                <w:rFonts w:ascii="宋体" w:hAnsi="宋体" w:cs="宋体"/>
                <w:color w:val="000000"/>
                <w:lang w:bidi="ar"/>
              </w:rPr>
            </w:pPr>
            <w:r>
              <w:rPr>
                <w:rFonts w:hint="eastAsia" w:ascii="宋体" w:hAnsi="宋体" w:cs="宋体"/>
                <w:color w:val="000000"/>
                <w:lang w:bidi="ar"/>
              </w:rPr>
              <w:t xml:space="preserve">犬伤电子核签系统（暴露接种知情）</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ff"/>
                <w:sz w:val="24"/>
                <w:szCs w:val="24"/>
              </w:rPr>
              <w:t xml:space="preserve">电子核签设备</w:t>
            </w:r>
            <w:r>
              <w:rPr>
                <w:rFonts w:hint="eastAsia"/>
                <w:color w:val="0000ff"/>
                <w:sz w:val="24"/>
                <w:szCs w:val="24"/>
              </w:rPr>
              <w:t xml:space="preserve">与</w:t>
            </w:r>
            <w:r>
              <w:rPr>
                <w:rFonts w:hint="eastAsia" w:ascii="宋体" w:hAnsi="宋体" w:cs="宋体"/>
                <w:color w:val="0000ff"/>
                <w:sz w:val="24"/>
                <w:szCs w:val="24"/>
              </w:rPr>
              <w:t xml:space="preserve">江苏省狂犬病防接种管理系统</w:t>
            </w:r>
            <w:r>
              <w:rPr>
                <w:rFonts w:hint="eastAsia"/>
                <w:color w:val="0000ff"/>
                <w:sz w:val="24"/>
                <w:szCs w:val="24"/>
              </w:rPr>
              <w:t xml:space="preserve">无缝对接</w:t>
            </w:r>
            <w:r>
              <w:rPr>
                <w:rFonts w:hint="eastAsia" w:ascii="宋体" w:hAnsi="宋体" w:cs="宋体"/>
                <w:color w:val="0000ff"/>
                <w:sz w:val="24"/>
                <w:szCs w:val="24"/>
              </w:rPr>
              <w:t xml:space="preserve">，报价中包含与上述系统的对接的所有费用。（提供承诺函并加盖供应商公章）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（二）系统功能要求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（1）用于狂犬病疫苗接种时对于狂犬病暴露情况确认和狂犬病知情同意书的确认。同时需包含安卓系统知情同意书的电子核签设备。</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00"/>
                <w:sz w:val="24"/>
                <w:szCs w:val="24"/>
              </w:rPr>
              <w:t xml:space="preserve">（2）</w:t>
            </w:r>
            <w:r>
              <w:rPr>
                <w:rFonts w:hint="eastAsia" w:ascii="宋体" w:hAnsi="宋体" w:cs="宋体"/>
                <w:color w:val="0000ff"/>
                <w:sz w:val="24"/>
                <w:szCs w:val="24"/>
              </w:rPr>
              <w:t xml:space="preserve">登记医生在客户端系统中登记受种者外伤暴露情况，同时调取对应疫苗的知情同意书。此时，受种者可在电子核签设备屏幕上看到狂犬病暴露情况，接种疫苗类型和接种程序，同时可查看狂犬病疫苗接种知情同意书内容。知情同意书内容为江苏省统一模板。受种者可通过签字方式完成确认。签字与知情告知书内容同时存档，并自动保存到系统中。</w:t>
            </w:r>
            <w:r>
              <w:rPr>
                <w:rFonts w:hint="eastAsia" w:ascii="宋体" w:hAnsi="宋体" w:cs="宋体"/>
                <w:color w:val="ee0000"/>
                <w:sz w:val="24"/>
                <w:szCs w:val="24"/>
                <w:lang w:bidi="ar"/>
              </w:rPr>
              <w:t xml:space="preserve">（提供系统截图并加盖供应商公章）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（三）配套终端要求</w:t>
            </w:r>
            <w:r/>
          </w:p>
          <w:tbl>
            <w:tblPr>
              <w:tblStyle w:val="740"/>
              <w:tblW w:w="7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61"/>
              <w:gridCol w:w="5256"/>
            </w:tblGrid>
            <w:tr>
              <w:trPr>
                <w:trHeight w:val="488"/>
              </w:trPr>
              <w:tc>
                <w:tcPr>
                  <w:tcW w:w="638" w:type="dxa"/>
                  <w:vAlign w:val="center"/>
                  <w:textDirection w:val="lrTb"/>
                  <w:noWrap w:val="false"/>
                </w:tcPr>
                <w:p>
                  <w:pPr>
                    <w:jc w:val="center"/>
                    <w:widowControl/>
                    <w:rPr>
                      <w:rFonts w:ascii="宋体" w:hAnsi="宋体"/>
                      <w:b/>
                    </w:rPr>
                  </w:pPr>
                  <w:r>
                    <w:rPr>
                      <w:rFonts w:hint="eastAsia" w:ascii="宋体" w:hAnsi="宋体"/>
                      <w:b/>
                    </w:rPr>
                    <w:t xml:space="preserve">序号</w:t>
                  </w:r>
                  <w:r/>
                </w:p>
              </w:tc>
              <w:tc>
                <w:tcPr>
                  <w:tcW w:w="1161" w:type="dxa"/>
                  <w:vAlign w:val="center"/>
                  <w:textDirection w:val="lrTb"/>
                  <w:noWrap w:val="false"/>
                </w:tcPr>
                <w:p>
                  <w:pPr>
                    <w:jc w:val="center"/>
                    <w:widowControl/>
                    <w:rPr>
                      <w:rFonts w:ascii="宋体" w:hAnsi="宋体"/>
                      <w:b/>
                    </w:rPr>
                  </w:pPr>
                  <w:r>
                    <w:rPr>
                      <w:rFonts w:hint="eastAsia" w:ascii="宋体" w:hAnsi="宋体"/>
                      <w:b/>
                    </w:rPr>
                    <w:t xml:space="preserve">模块名称</w:t>
                  </w:r>
                  <w:r/>
                </w:p>
              </w:tc>
              <w:tc>
                <w:tcPr>
                  <w:tcW w:w="5256" w:type="dxa"/>
                  <w:vAlign w:val="center"/>
                  <w:textDirection w:val="lrTb"/>
                  <w:noWrap w:val="false"/>
                </w:tcPr>
                <w:p>
                  <w:pPr>
                    <w:jc w:val="center"/>
                    <w:widowControl/>
                    <w:rPr>
                      <w:rFonts w:ascii="宋体" w:hAnsi="宋体"/>
                      <w:b/>
                    </w:rPr>
                  </w:pPr>
                  <w:r>
                    <w:rPr>
                      <w:rFonts w:hint="eastAsia" w:ascii="宋体" w:hAnsi="宋体"/>
                      <w:b/>
                    </w:rPr>
                    <w:t xml:space="preserve">参数配置</w:t>
                  </w:r>
                  <w:r/>
                </w:p>
              </w:tc>
            </w:tr>
            <w:tr>
              <w:trPr>
                <w:trHeight w:val="47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1</w:t>
                  </w:r>
                  <w:r/>
                </w:p>
              </w:tc>
              <w:tc>
                <w:tcPr>
                  <w:tcW w:w="1161" w:type="dxa"/>
                  <w:vAlign w:val="center"/>
                  <w:textDirection w:val="lrTb"/>
                  <w:noWrap w:val="false"/>
                </w:tcPr>
                <w:p>
                  <w:pPr>
                    <w:widowControl/>
                    <w:rPr>
                      <w:rFonts w:ascii="宋体" w:hAnsi="宋体"/>
                      <w:bCs/>
                    </w:rPr>
                  </w:pPr>
                  <w:r>
                    <w:rPr>
                      <w:rFonts w:hint="eastAsia" w:ascii="宋体" w:hAnsi="宋体"/>
                      <w:bCs/>
                    </w:rPr>
                    <w:t xml:space="preserve">CPU</w:t>
                  </w:r>
                  <w:r/>
                </w:p>
              </w:tc>
              <w:tc>
                <w:tcPr>
                  <w:tcW w:w="5256" w:type="dxa"/>
                  <w:vAlign w:val="center"/>
                  <w:textDirection w:val="lrTb"/>
                  <w:noWrap w:val="false"/>
                </w:tcPr>
                <w:p>
                  <w:pPr>
                    <w:widowControl/>
                    <w:rPr>
                      <w:rFonts w:ascii="宋体" w:hAnsi="宋体"/>
                      <w:bCs/>
                    </w:rPr>
                  </w:pPr>
                  <w:r>
                    <w:rPr>
                      <w:rFonts w:hint="eastAsia" w:ascii="宋体" w:hAnsi="宋体"/>
                      <w:bCs/>
                    </w:rPr>
                    <w:t xml:space="preserve">≥4核 1.0GHZ</w:t>
                  </w:r>
                  <w:r/>
                </w:p>
              </w:tc>
            </w:tr>
            <w:tr>
              <w:trPr>
                <w:trHeight w:val="47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2</w:t>
                  </w:r>
                  <w:r/>
                </w:p>
              </w:tc>
              <w:tc>
                <w:tcPr>
                  <w:tcW w:w="1161" w:type="dxa"/>
                  <w:vAlign w:val="center"/>
                  <w:textDirection w:val="lrTb"/>
                  <w:noWrap w:val="false"/>
                </w:tcPr>
                <w:p>
                  <w:pPr>
                    <w:widowControl/>
                    <w:rPr>
                      <w:rFonts w:ascii="宋体" w:hAnsi="宋体"/>
                      <w:bCs/>
                    </w:rPr>
                  </w:pPr>
                  <w:r>
                    <w:rPr>
                      <w:rFonts w:hint="eastAsia" w:ascii="宋体" w:hAnsi="宋体"/>
                      <w:bCs/>
                    </w:rPr>
                    <w:t xml:space="preserve">内存/存储</w:t>
                  </w:r>
                  <w:r/>
                </w:p>
              </w:tc>
              <w:tc>
                <w:tcPr>
                  <w:tcW w:w="5256" w:type="dxa"/>
                  <w:vAlign w:val="center"/>
                  <w:textDirection w:val="lrTb"/>
                  <w:noWrap w:val="false"/>
                </w:tcPr>
                <w:p>
                  <w:pPr>
                    <w:widowControl/>
                    <w:rPr>
                      <w:rFonts w:ascii="宋体" w:hAnsi="宋体"/>
                      <w:bCs/>
                    </w:rPr>
                  </w:pPr>
                  <w:r>
                    <w:rPr>
                      <w:rFonts w:hint="eastAsia" w:ascii="宋体" w:hAnsi="宋体"/>
                      <w:bCs/>
                    </w:rPr>
                    <w:t xml:space="preserve">≥2G/8G</w:t>
                  </w:r>
                  <w:r/>
                </w:p>
              </w:tc>
            </w:tr>
            <w:tr>
              <w:trPr>
                <w:trHeight w:val="658"/>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3</w:t>
                  </w:r>
                  <w:r/>
                </w:p>
              </w:tc>
              <w:tc>
                <w:tcPr>
                  <w:tcW w:w="1161" w:type="dxa"/>
                  <w:vAlign w:val="center"/>
                  <w:textDirection w:val="lrTb"/>
                  <w:noWrap w:val="false"/>
                </w:tcPr>
                <w:p>
                  <w:pPr>
                    <w:widowControl/>
                    <w:rPr>
                      <w:rFonts w:ascii="宋体" w:hAnsi="宋体"/>
                      <w:bCs/>
                    </w:rPr>
                  </w:pPr>
                  <w:r>
                    <w:rPr>
                      <w:rFonts w:hint="eastAsia" w:ascii="宋体" w:hAnsi="宋体"/>
                      <w:bCs/>
                    </w:rPr>
                    <w:t xml:space="preserve">显示屏幕</w:t>
                  </w:r>
                  <w:r/>
                </w:p>
              </w:tc>
              <w:tc>
                <w:tcPr>
                  <w:tcW w:w="5256" w:type="dxa"/>
                  <w:vAlign w:val="center"/>
                  <w:textDirection w:val="lrTb"/>
                  <w:noWrap w:val="false"/>
                </w:tcPr>
                <w:p>
                  <w:pPr>
                    <w:widowControl/>
                    <w:rPr>
                      <w:rFonts w:ascii="宋体" w:hAnsi="宋体"/>
                      <w:bCs/>
                    </w:rPr>
                  </w:pPr>
                  <w:r>
                    <w:rPr>
                      <w:rFonts w:hint="eastAsia" w:ascii="宋体" w:hAnsi="宋体"/>
                      <w:bCs/>
                    </w:rPr>
                    <w:t xml:space="preserve">液晶显示屏，</w:t>
                  </w:r>
                  <w:r>
                    <w:rPr>
                      <w:rFonts w:hint="eastAsia"/>
                      <w:sz w:val="22"/>
                      <w:szCs w:val="22"/>
                    </w:rPr>
                    <w:t xml:space="preserve">≥</w:t>
                  </w:r>
                  <w:r>
                    <w:rPr>
                      <w:rFonts w:hint="eastAsia" w:ascii="宋体" w:hAnsi="宋体"/>
                      <w:bCs/>
                    </w:rPr>
                    <w:t xml:space="preserve">10寸屏，分辨率支持</w:t>
                  </w:r>
                  <w:r>
                    <w:rPr>
                      <w:rFonts w:hint="eastAsia"/>
                      <w:sz w:val="22"/>
                      <w:szCs w:val="22"/>
                    </w:rPr>
                    <w:t xml:space="preserve">≥</w:t>
                  </w:r>
                  <w:r>
                    <w:rPr>
                      <w:rFonts w:hint="eastAsia" w:ascii="宋体" w:hAnsi="宋体"/>
                      <w:bCs/>
                    </w:rPr>
                    <w:t xml:space="preserve">1280*800，亮度≥200cd/m²</w:t>
                  </w:r>
                  <w:r/>
                </w:p>
              </w:tc>
            </w:tr>
            <w:tr>
              <w:trPr>
                <w:trHeight w:val="47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4</w:t>
                  </w:r>
                  <w:r/>
                </w:p>
              </w:tc>
              <w:tc>
                <w:tcPr>
                  <w:tcW w:w="1161" w:type="dxa"/>
                  <w:vAlign w:val="center"/>
                  <w:textDirection w:val="lrTb"/>
                  <w:noWrap w:val="false"/>
                </w:tcPr>
                <w:p>
                  <w:pPr>
                    <w:widowControl/>
                    <w:rPr>
                      <w:rFonts w:ascii="宋体" w:hAnsi="宋体"/>
                      <w:bCs/>
                    </w:rPr>
                  </w:pPr>
                  <w:r>
                    <w:rPr>
                      <w:rFonts w:hint="eastAsia" w:ascii="宋体" w:hAnsi="宋体"/>
                      <w:bCs/>
                    </w:rPr>
                    <w:t xml:space="preserve">触摸屏</w:t>
                  </w:r>
                  <w:r/>
                </w:p>
              </w:tc>
              <w:tc>
                <w:tcPr>
                  <w:tcW w:w="5256" w:type="dxa"/>
                  <w:vAlign w:val="center"/>
                  <w:textDirection w:val="lrTb"/>
                  <w:noWrap w:val="false"/>
                </w:tcPr>
                <w:p>
                  <w:pPr>
                    <w:widowControl/>
                    <w:rPr>
                      <w:rFonts w:ascii="宋体" w:hAnsi="宋体"/>
                      <w:bCs/>
                    </w:rPr>
                  </w:pPr>
                  <w:r>
                    <w:rPr>
                      <w:rFonts w:hint="eastAsia" w:ascii="宋体" w:hAnsi="宋体"/>
                      <w:bCs/>
                    </w:rPr>
                    <w:t xml:space="preserve">触摸屏幕，支持多点</w:t>
                  </w:r>
                  <w:r/>
                </w:p>
              </w:tc>
            </w:tr>
            <w:tr>
              <w:trPr>
                <w:trHeight w:val="658"/>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5</w:t>
                  </w:r>
                  <w:r/>
                </w:p>
              </w:tc>
              <w:tc>
                <w:tcPr>
                  <w:tcW w:w="1161" w:type="dxa"/>
                  <w:vAlign w:val="center"/>
                  <w:textDirection w:val="lrTb"/>
                  <w:noWrap w:val="false"/>
                </w:tcPr>
                <w:p>
                  <w:pPr>
                    <w:widowControl/>
                    <w:rPr>
                      <w:rFonts w:ascii="宋体" w:hAnsi="宋体"/>
                      <w:bCs/>
                    </w:rPr>
                  </w:pPr>
                  <w:r>
                    <w:rPr>
                      <w:rFonts w:hint="eastAsia" w:ascii="宋体" w:hAnsi="宋体"/>
                      <w:bCs/>
                    </w:rPr>
                    <w:t xml:space="preserve">外设</w:t>
                  </w:r>
                  <w:r/>
                </w:p>
              </w:tc>
              <w:tc>
                <w:tcPr>
                  <w:tcW w:w="5256" w:type="dxa"/>
                  <w:vAlign w:val="center"/>
                  <w:textDirection w:val="lrTb"/>
                  <w:noWrap w:val="false"/>
                </w:tcPr>
                <w:p>
                  <w:pPr>
                    <w:widowControl/>
                    <w:rPr>
                      <w:rFonts w:ascii="宋体" w:hAnsi="宋体"/>
                      <w:bCs/>
                    </w:rPr>
                  </w:pPr>
                  <w:r>
                    <w:rPr>
                      <w:rFonts w:hint="eastAsia" w:ascii="宋体" w:hAnsi="宋体"/>
                      <w:bCs/>
                    </w:rPr>
                    <w:t xml:space="preserve">配置200万及以上摄像头，指纹仪和喇叭</w:t>
                  </w:r>
                  <w:r/>
                </w:p>
              </w:tc>
            </w:tr>
            <w:tr>
              <w:trPr>
                <w:trHeight w:val="47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6</w:t>
                  </w:r>
                  <w:r/>
                </w:p>
              </w:tc>
              <w:tc>
                <w:tcPr>
                  <w:tcW w:w="1161" w:type="dxa"/>
                  <w:vAlign w:val="center"/>
                  <w:textDirection w:val="lrTb"/>
                  <w:noWrap w:val="false"/>
                </w:tcPr>
                <w:p>
                  <w:pPr>
                    <w:widowControl/>
                    <w:rPr>
                      <w:rFonts w:ascii="宋体" w:hAnsi="宋体"/>
                      <w:bCs/>
                    </w:rPr>
                  </w:pPr>
                  <w:r>
                    <w:rPr>
                      <w:rFonts w:hint="eastAsia" w:ascii="宋体" w:hAnsi="宋体"/>
                      <w:bCs/>
                    </w:rPr>
                    <w:t xml:space="preserve">网络</w:t>
                  </w:r>
                  <w:r/>
                </w:p>
              </w:tc>
              <w:tc>
                <w:tcPr>
                  <w:tcW w:w="5256" w:type="dxa"/>
                  <w:vAlign w:val="center"/>
                  <w:textDirection w:val="lrTb"/>
                  <w:noWrap w:val="false"/>
                </w:tcPr>
                <w:p>
                  <w:pPr>
                    <w:widowControl/>
                    <w:rPr>
                      <w:rFonts w:ascii="宋体" w:hAnsi="宋体"/>
                      <w:bCs/>
                    </w:rPr>
                  </w:pPr>
                  <w:r>
                    <w:rPr>
                      <w:rFonts w:hint="eastAsia" w:ascii="宋体" w:hAnsi="宋体"/>
                      <w:bCs/>
                    </w:rPr>
                    <w:t xml:space="preserve">支持RJ45、Wi-Fi数据交互通信</w:t>
                  </w:r>
                  <w:r/>
                </w:p>
              </w:tc>
            </w:tr>
            <w:tr>
              <w:trPr>
                <w:trHeight w:val="573"/>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7</w:t>
                  </w:r>
                  <w:r/>
                </w:p>
              </w:tc>
              <w:tc>
                <w:tcPr>
                  <w:tcW w:w="1161" w:type="dxa"/>
                  <w:vAlign w:val="center"/>
                  <w:textDirection w:val="lrTb"/>
                  <w:noWrap w:val="false"/>
                </w:tcPr>
                <w:p>
                  <w:pPr>
                    <w:widowControl/>
                    <w:rPr>
                      <w:rFonts w:ascii="宋体" w:hAnsi="宋体"/>
                      <w:bCs/>
                    </w:rPr>
                  </w:pPr>
                  <w:r>
                    <w:rPr>
                      <w:rFonts w:hint="eastAsia" w:ascii="宋体" w:hAnsi="宋体"/>
                      <w:bCs/>
                    </w:rPr>
                    <w:t xml:space="preserve">外观</w:t>
                  </w:r>
                  <w:r/>
                </w:p>
              </w:tc>
              <w:tc>
                <w:tcPr>
                  <w:tcW w:w="5256" w:type="dxa"/>
                  <w:vAlign w:val="center"/>
                  <w:textDirection w:val="lrTb"/>
                  <w:noWrap w:val="false"/>
                </w:tcPr>
                <w:p>
                  <w:pPr>
                    <w:widowControl/>
                    <w:rPr>
                      <w:rFonts w:ascii="宋体" w:hAnsi="宋体"/>
                      <w:bCs/>
                    </w:rPr>
                  </w:pPr>
                  <w:r>
                    <w:rPr>
                      <w:rFonts w:hint="eastAsia" w:ascii="宋体" w:hAnsi="宋体"/>
                      <w:bCs/>
                    </w:rPr>
                    <w:t xml:space="preserve">产品尺寸符合，易于摆放，屏幕有倾斜角度，便于观看</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pStyle w:val="775"/>
              <w:ind w:left="0"/>
              <w:spacing w:line="276" w:lineRule="auto"/>
              <w:rPr>
                <w:rFonts w:ascii="宋体" w:hAnsi="宋体" w:cs="宋体"/>
                <w:color w:val="000000"/>
                <w:lang w:bidi="ar"/>
              </w:rPr>
            </w:pPr>
            <w:r>
              <w:rPr>
                <w:rFonts w:hint="eastAsia" w:ascii="宋体" w:hAnsi="宋体" w:cs="宋体"/>
                <w:color w:val="000000"/>
                <w:lang w:bidi="ar"/>
              </w:rPr>
              <w:t xml:space="preserve">犬伤电子核签系统（接种告知）</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ff"/>
                <w:sz w:val="24"/>
                <w:szCs w:val="24"/>
              </w:rPr>
              <w:t xml:space="preserve">电子核签设备</w:t>
            </w:r>
            <w:r>
              <w:rPr>
                <w:rFonts w:hint="eastAsia"/>
                <w:color w:val="0000ff"/>
                <w:sz w:val="24"/>
                <w:szCs w:val="24"/>
              </w:rPr>
              <w:t xml:space="preserve">与</w:t>
            </w:r>
            <w:r>
              <w:rPr>
                <w:rFonts w:hint="eastAsia" w:ascii="宋体" w:hAnsi="宋体" w:cs="宋体"/>
                <w:color w:val="0000ff"/>
                <w:sz w:val="24"/>
                <w:szCs w:val="24"/>
              </w:rPr>
              <w:t xml:space="preserve">江苏省狂犬病防接种管理系统</w:t>
            </w:r>
            <w:r>
              <w:rPr>
                <w:rFonts w:hint="eastAsia"/>
                <w:color w:val="0000ff"/>
                <w:sz w:val="24"/>
                <w:szCs w:val="24"/>
              </w:rPr>
              <w:t xml:space="preserve">无缝对接</w:t>
            </w:r>
            <w:r>
              <w:rPr>
                <w:rFonts w:hint="eastAsia" w:ascii="宋体" w:hAnsi="宋体" w:cs="宋体"/>
                <w:color w:val="0000ff"/>
                <w:sz w:val="24"/>
                <w:szCs w:val="24"/>
              </w:rPr>
              <w:t xml:space="preserve">，报价中包含与上述系统的对接的所有费用。（提供承诺函并加盖供应商公章）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（二）系统功能要求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（1）用于狂犬病接种时的受种者电子验证环节。同时需包含安卓系统专用告知终端设备。</w:t>
            </w:r>
            <w:r/>
          </w:p>
          <w:p>
            <w:pPr>
              <w:jc w:val="left"/>
              <w:widowControl/>
              <w:rPr>
                <w:rFonts w:ascii="宋体" w:hAnsi="宋体" w:cs="宋体"/>
                <w:color w:val="0000ff"/>
                <w:sz w:val="24"/>
                <w:szCs w:val="24"/>
              </w:rPr>
            </w:pPr>
            <w:r>
              <w:rPr>
                <w:rFonts w:hint="eastAsia" w:ascii="宋体" w:hAnsi="宋体" w:cs="宋体"/>
                <w:color w:val="000000"/>
                <w:sz w:val="24"/>
                <w:szCs w:val="24"/>
              </w:rPr>
              <w:t xml:space="preserve">（2）</w:t>
            </w:r>
            <w:r>
              <w:rPr>
                <w:rFonts w:hint="eastAsia" w:ascii="宋体" w:hAnsi="宋体" w:cs="宋体"/>
                <w:color w:val="0000ff"/>
                <w:sz w:val="24"/>
                <w:szCs w:val="24"/>
              </w:rPr>
              <w:t xml:space="preserve">系统支持通过网络连接江苏省狂犬病防接种管理系统，在接种前，接种医生扫描疫苗药监码后，在终端设备上可显示出该疫苗的疫苗名称、厂家、批号、效期等信息，同时可自动与登记台医生在预防接种信息系统中登记的当天待接种疫苗信息进行核对，由受种者进行确认和签字。受种者签字和疫苗信息同时存档，并自动保存到系统中。</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（三）配套终端要求</w:t>
            </w:r>
            <w:r/>
          </w:p>
          <w:tbl>
            <w:tblPr>
              <w:tblStyle w:val="740"/>
              <w:tblW w:w="7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161"/>
              <w:gridCol w:w="5256"/>
            </w:tblGrid>
            <w:tr>
              <w:trPr>
                <w:trHeight w:val="520"/>
              </w:trPr>
              <w:tc>
                <w:tcPr>
                  <w:tcW w:w="638" w:type="dxa"/>
                  <w:vAlign w:val="center"/>
                  <w:textDirection w:val="lrTb"/>
                  <w:noWrap w:val="false"/>
                </w:tcPr>
                <w:p>
                  <w:pPr>
                    <w:jc w:val="center"/>
                    <w:widowControl/>
                    <w:rPr>
                      <w:rFonts w:ascii="宋体" w:hAnsi="宋体"/>
                      <w:b/>
                    </w:rPr>
                  </w:pPr>
                  <w:r>
                    <w:rPr>
                      <w:rFonts w:hint="eastAsia" w:ascii="宋体" w:hAnsi="宋体"/>
                      <w:b/>
                    </w:rPr>
                    <w:t xml:space="preserve">序号</w:t>
                  </w:r>
                  <w:r/>
                </w:p>
              </w:tc>
              <w:tc>
                <w:tcPr>
                  <w:tcW w:w="1161" w:type="dxa"/>
                  <w:vAlign w:val="center"/>
                  <w:textDirection w:val="lrTb"/>
                  <w:noWrap w:val="false"/>
                </w:tcPr>
                <w:p>
                  <w:pPr>
                    <w:jc w:val="center"/>
                    <w:widowControl/>
                    <w:rPr>
                      <w:rFonts w:ascii="宋体" w:hAnsi="宋体"/>
                      <w:b/>
                    </w:rPr>
                  </w:pPr>
                  <w:r>
                    <w:rPr>
                      <w:rFonts w:hint="eastAsia" w:ascii="宋体" w:hAnsi="宋体"/>
                      <w:b/>
                    </w:rPr>
                    <w:t xml:space="preserve">模块名称</w:t>
                  </w:r>
                  <w:r/>
                </w:p>
              </w:tc>
              <w:tc>
                <w:tcPr>
                  <w:tcW w:w="5256" w:type="dxa"/>
                  <w:vAlign w:val="center"/>
                  <w:textDirection w:val="lrTb"/>
                  <w:noWrap w:val="false"/>
                </w:tcPr>
                <w:p>
                  <w:pPr>
                    <w:jc w:val="center"/>
                    <w:widowControl/>
                    <w:rPr>
                      <w:rFonts w:ascii="宋体" w:hAnsi="宋体"/>
                      <w:b/>
                    </w:rPr>
                  </w:pPr>
                  <w:r>
                    <w:rPr>
                      <w:rFonts w:hint="eastAsia" w:ascii="宋体" w:hAnsi="宋体"/>
                      <w:b/>
                    </w:rPr>
                    <w:t xml:space="preserve">参数配置</w:t>
                  </w:r>
                  <w:r/>
                </w:p>
              </w:tc>
            </w:tr>
            <w:tr>
              <w:trPr>
                <w:trHeight w:val="50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1</w:t>
                  </w:r>
                  <w:r/>
                </w:p>
              </w:tc>
              <w:tc>
                <w:tcPr>
                  <w:tcW w:w="1161" w:type="dxa"/>
                  <w:vAlign w:val="center"/>
                  <w:textDirection w:val="lrTb"/>
                  <w:noWrap w:val="false"/>
                </w:tcPr>
                <w:p>
                  <w:pPr>
                    <w:widowControl/>
                    <w:rPr>
                      <w:rFonts w:ascii="宋体" w:hAnsi="宋体"/>
                      <w:bCs/>
                    </w:rPr>
                  </w:pPr>
                  <w:r>
                    <w:rPr>
                      <w:rFonts w:hint="eastAsia" w:ascii="宋体" w:hAnsi="宋体"/>
                      <w:bCs/>
                    </w:rPr>
                    <w:t xml:space="preserve">CPU</w:t>
                  </w:r>
                  <w:r/>
                </w:p>
              </w:tc>
              <w:tc>
                <w:tcPr>
                  <w:tcW w:w="5256" w:type="dxa"/>
                  <w:vAlign w:val="center"/>
                  <w:textDirection w:val="lrTb"/>
                  <w:noWrap w:val="false"/>
                </w:tcPr>
                <w:p>
                  <w:pPr>
                    <w:widowControl/>
                    <w:rPr>
                      <w:rFonts w:ascii="宋体" w:hAnsi="宋体"/>
                      <w:bCs/>
                    </w:rPr>
                  </w:pPr>
                  <w:r>
                    <w:rPr>
                      <w:rFonts w:hint="eastAsia" w:ascii="宋体" w:hAnsi="宋体"/>
                      <w:bCs/>
                    </w:rPr>
                    <w:t xml:space="preserve">≥4核 1.0GHZ</w:t>
                  </w:r>
                  <w:r/>
                </w:p>
              </w:tc>
            </w:tr>
            <w:tr>
              <w:trPr>
                <w:trHeight w:val="50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2</w:t>
                  </w:r>
                  <w:r/>
                </w:p>
              </w:tc>
              <w:tc>
                <w:tcPr>
                  <w:tcW w:w="1161" w:type="dxa"/>
                  <w:vAlign w:val="center"/>
                  <w:textDirection w:val="lrTb"/>
                  <w:noWrap w:val="false"/>
                </w:tcPr>
                <w:p>
                  <w:pPr>
                    <w:widowControl/>
                    <w:rPr>
                      <w:rFonts w:ascii="宋体" w:hAnsi="宋体"/>
                      <w:bCs/>
                    </w:rPr>
                  </w:pPr>
                  <w:r>
                    <w:rPr>
                      <w:rFonts w:hint="eastAsia" w:ascii="宋体" w:hAnsi="宋体"/>
                      <w:bCs/>
                    </w:rPr>
                    <w:t xml:space="preserve">内存/存储</w:t>
                  </w:r>
                  <w:r/>
                </w:p>
              </w:tc>
              <w:tc>
                <w:tcPr>
                  <w:tcW w:w="5256" w:type="dxa"/>
                  <w:vAlign w:val="center"/>
                  <w:textDirection w:val="lrTb"/>
                  <w:noWrap w:val="false"/>
                </w:tcPr>
                <w:p>
                  <w:pPr>
                    <w:widowControl/>
                    <w:rPr>
                      <w:rFonts w:ascii="宋体" w:hAnsi="宋体"/>
                      <w:bCs/>
                    </w:rPr>
                  </w:pPr>
                  <w:r>
                    <w:rPr>
                      <w:rFonts w:hint="eastAsia" w:ascii="宋体" w:hAnsi="宋体"/>
                      <w:bCs/>
                    </w:rPr>
                    <w:t xml:space="preserve">≥2G/8G</w:t>
                  </w:r>
                  <w:r/>
                </w:p>
              </w:tc>
            </w:tr>
            <w:tr>
              <w:trPr>
                <w:trHeight w:val="70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3</w:t>
                  </w:r>
                  <w:r/>
                </w:p>
              </w:tc>
              <w:tc>
                <w:tcPr>
                  <w:tcW w:w="1161" w:type="dxa"/>
                  <w:vAlign w:val="center"/>
                  <w:textDirection w:val="lrTb"/>
                  <w:noWrap w:val="false"/>
                </w:tcPr>
                <w:p>
                  <w:pPr>
                    <w:widowControl/>
                    <w:rPr>
                      <w:rFonts w:ascii="宋体" w:hAnsi="宋体"/>
                      <w:bCs/>
                    </w:rPr>
                  </w:pPr>
                  <w:r>
                    <w:rPr>
                      <w:rFonts w:hint="eastAsia" w:ascii="宋体" w:hAnsi="宋体"/>
                      <w:bCs/>
                    </w:rPr>
                    <w:t xml:space="preserve">显示屏幕</w:t>
                  </w:r>
                  <w:r/>
                </w:p>
              </w:tc>
              <w:tc>
                <w:tcPr>
                  <w:tcW w:w="5256" w:type="dxa"/>
                  <w:vAlign w:val="center"/>
                  <w:textDirection w:val="lrTb"/>
                  <w:noWrap w:val="false"/>
                </w:tcPr>
                <w:p>
                  <w:pPr>
                    <w:widowControl/>
                    <w:rPr>
                      <w:rFonts w:ascii="宋体" w:hAnsi="宋体"/>
                      <w:bCs/>
                    </w:rPr>
                  </w:pPr>
                  <w:r>
                    <w:rPr>
                      <w:rFonts w:hint="eastAsia" w:ascii="宋体" w:hAnsi="宋体"/>
                      <w:bCs/>
                    </w:rPr>
                    <w:t xml:space="preserve">液晶显示屏，&gt;=10寸屏，分辨率支持&gt;=1280*800，亮度≥200cd/m²</w:t>
                  </w:r>
                  <w:r/>
                </w:p>
              </w:tc>
            </w:tr>
            <w:tr>
              <w:trPr>
                <w:trHeight w:val="50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4</w:t>
                  </w:r>
                  <w:r/>
                </w:p>
              </w:tc>
              <w:tc>
                <w:tcPr>
                  <w:tcW w:w="1161" w:type="dxa"/>
                  <w:vAlign w:val="center"/>
                  <w:textDirection w:val="lrTb"/>
                  <w:noWrap w:val="false"/>
                </w:tcPr>
                <w:p>
                  <w:pPr>
                    <w:widowControl/>
                    <w:rPr>
                      <w:rFonts w:ascii="宋体" w:hAnsi="宋体"/>
                      <w:bCs/>
                    </w:rPr>
                  </w:pPr>
                  <w:r>
                    <w:rPr>
                      <w:rFonts w:hint="eastAsia" w:ascii="宋体" w:hAnsi="宋体"/>
                      <w:bCs/>
                    </w:rPr>
                    <w:t xml:space="preserve">触摸屏</w:t>
                  </w:r>
                  <w:r/>
                </w:p>
              </w:tc>
              <w:tc>
                <w:tcPr>
                  <w:tcW w:w="5256" w:type="dxa"/>
                  <w:vAlign w:val="center"/>
                  <w:textDirection w:val="lrTb"/>
                  <w:noWrap w:val="false"/>
                </w:tcPr>
                <w:p>
                  <w:pPr>
                    <w:widowControl/>
                    <w:rPr>
                      <w:rFonts w:ascii="宋体" w:hAnsi="宋体"/>
                      <w:bCs/>
                    </w:rPr>
                  </w:pPr>
                  <w:r>
                    <w:rPr>
                      <w:rFonts w:hint="eastAsia" w:ascii="宋体" w:hAnsi="宋体"/>
                      <w:bCs/>
                    </w:rPr>
                    <w:t xml:space="preserve">触摸屏幕，支持多点</w:t>
                  </w:r>
                  <w:r/>
                </w:p>
              </w:tc>
            </w:tr>
            <w:tr>
              <w:trPr>
                <w:trHeight w:val="70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5</w:t>
                  </w:r>
                  <w:r/>
                </w:p>
              </w:tc>
              <w:tc>
                <w:tcPr>
                  <w:tcW w:w="1161" w:type="dxa"/>
                  <w:vAlign w:val="center"/>
                  <w:textDirection w:val="lrTb"/>
                  <w:noWrap w:val="false"/>
                </w:tcPr>
                <w:p>
                  <w:pPr>
                    <w:widowControl/>
                    <w:rPr>
                      <w:rFonts w:ascii="宋体" w:hAnsi="宋体"/>
                      <w:bCs/>
                    </w:rPr>
                  </w:pPr>
                  <w:r>
                    <w:rPr>
                      <w:rFonts w:hint="eastAsia" w:ascii="宋体" w:hAnsi="宋体"/>
                      <w:bCs/>
                    </w:rPr>
                    <w:t xml:space="preserve">外设</w:t>
                  </w:r>
                  <w:r/>
                </w:p>
              </w:tc>
              <w:tc>
                <w:tcPr>
                  <w:tcW w:w="5256" w:type="dxa"/>
                  <w:vAlign w:val="center"/>
                  <w:textDirection w:val="lrTb"/>
                  <w:noWrap w:val="false"/>
                </w:tcPr>
                <w:p>
                  <w:pPr>
                    <w:widowControl/>
                    <w:rPr>
                      <w:rFonts w:ascii="宋体" w:hAnsi="宋体"/>
                      <w:bCs/>
                    </w:rPr>
                  </w:pPr>
                  <w:r>
                    <w:rPr>
                      <w:rFonts w:hint="eastAsia" w:ascii="宋体" w:hAnsi="宋体"/>
                      <w:bCs/>
                    </w:rPr>
                    <w:t xml:space="preserve">配置200万及以上摄像头，指纹仪和喇叭</w:t>
                  </w:r>
                  <w:r/>
                </w:p>
              </w:tc>
            </w:tr>
            <w:tr>
              <w:trPr>
                <w:trHeight w:val="420"/>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6</w:t>
                  </w:r>
                  <w:r/>
                </w:p>
              </w:tc>
              <w:tc>
                <w:tcPr>
                  <w:tcW w:w="1161" w:type="dxa"/>
                  <w:vAlign w:val="center"/>
                  <w:textDirection w:val="lrTb"/>
                  <w:noWrap w:val="false"/>
                </w:tcPr>
                <w:p>
                  <w:pPr>
                    <w:widowControl/>
                    <w:rPr>
                      <w:rFonts w:ascii="宋体" w:hAnsi="宋体"/>
                      <w:bCs/>
                    </w:rPr>
                  </w:pPr>
                  <w:r>
                    <w:rPr>
                      <w:rFonts w:hint="eastAsia" w:ascii="宋体" w:hAnsi="宋体"/>
                      <w:bCs/>
                    </w:rPr>
                    <w:t xml:space="preserve">网络</w:t>
                  </w:r>
                  <w:r/>
                </w:p>
              </w:tc>
              <w:tc>
                <w:tcPr>
                  <w:tcW w:w="5256" w:type="dxa"/>
                  <w:vAlign w:val="center"/>
                  <w:textDirection w:val="lrTb"/>
                  <w:noWrap w:val="false"/>
                </w:tcPr>
                <w:p>
                  <w:pPr>
                    <w:widowControl/>
                    <w:rPr>
                      <w:rFonts w:ascii="宋体" w:hAnsi="宋体"/>
                      <w:bCs/>
                    </w:rPr>
                  </w:pPr>
                  <w:r>
                    <w:rPr>
                      <w:rFonts w:hint="eastAsia" w:ascii="宋体" w:hAnsi="宋体"/>
                      <w:bCs/>
                    </w:rPr>
                    <w:t xml:space="preserve">支持RJ45、Wi-Fi数据交互通信</w:t>
                  </w:r>
                  <w:r/>
                </w:p>
              </w:tc>
            </w:tr>
            <w:tr>
              <w:trPr>
                <w:trHeight w:val="766"/>
              </w:trPr>
              <w:tc>
                <w:tcPr>
                  <w:tcW w:w="638" w:type="dxa"/>
                  <w:vAlign w:val="center"/>
                  <w:textDirection w:val="lrTb"/>
                  <w:noWrap w:val="false"/>
                </w:tcPr>
                <w:p>
                  <w:pPr>
                    <w:jc w:val="center"/>
                    <w:widowControl/>
                    <w:rPr>
                      <w:rFonts w:ascii="宋体" w:hAnsi="宋体"/>
                      <w:bCs/>
                    </w:rPr>
                  </w:pPr>
                  <w:r>
                    <w:rPr>
                      <w:rFonts w:hint="eastAsia" w:ascii="宋体" w:hAnsi="宋体"/>
                      <w:bCs/>
                    </w:rPr>
                    <w:t xml:space="preserve">7</w:t>
                  </w:r>
                  <w:r/>
                </w:p>
              </w:tc>
              <w:tc>
                <w:tcPr>
                  <w:tcW w:w="1161" w:type="dxa"/>
                  <w:vAlign w:val="center"/>
                  <w:textDirection w:val="lrTb"/>
                  <w:noWrap w:val="false"/>
                </w:tcPr>
                <w:p>
                  <w:pPr>
                    <w:widowControl/>
                    <w:rPr>
                      <w:rFonts w:ascii="宋体" w:hAnsi="宋体"/>
                      <w:bCs/>
                    </w:rPr>
                  </w:pPr>
                  <w:r>
                    <w:rPr>
                      <w:rFonts w:hint="eastAsia" w:ascii="宋体" w:hAnsi="宋体"/>
                      <w:bCs/>
                    </w:rPr>
                    <w:t xml:space="preserve">外观</w:t>
                  </w:r>
                  <w:r/>
                </w:p>
              </w:tc>
              <w:tc>
                <w:tcPr>
                  <w:tcW w:w="5256" w:type="dxa"/>
                  <w:vAlign w:val="center"/>
                  <w:textDirection w:val="lrTb"/>
                  <w:noWrap w:val="false"/>
                </w:tcPr>
                <w:p>
                  <w:pPr>
                    <w:widowControl/>
                    <w:rPr>
                      <w:rFonts w:ascii="宋体" w:hAnsi="宋体"/>
                      <w:bCs/>
                    </w:rPr>
                  </w:pPr>
                  <w:r>
                    <w:rPr>
                      <w:rFonts w:hint="eastAsia" w:ascii="宋体" w:hAnsi="宋体"/>
                      <w:bCs/>
                    </w:rPr>
                    <w:t xml:space="preserve">产品尺寸符合，易于摆放，屏幕有倾斜角度，便于观看</w:t>
                  </w:r>
                  <w:r/>
                </w:p>
              </w:tc>
            </w:tr>
          </w:tbl>
          <w:p>
            <w:pPr>
              <w:jc w:val="left"/>
              <w:widowControl/>
              <w:rPr>
                <w:rFonts w:ascii="宋体" w:hAnsi="宋体" w:cs="宋体"/>
                <w:color w:val="000000"/>
                <w:sz w:val="24"/>
                <w:szCs w:val="24"/>
              </w:rPr>
            </w:pPr>
            <w:r>
              <w:rPr>
                <w:rFonts w:ascii="宋体" w:hAnsi="宋体" w:cs="宋体"/>
                <w:color w:val="000000"/>
                <w:sz w:val="24"/>
                <w:szCs w:val="24"/>
              </w:rPr>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犬伤接种留观系统</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（一）总体要求</w:t>
            </w:r>
            <w:r/>
          </w:p>
          <w:p>
            <w:pPr>
              <w:jc w:val="left"/>
              <w:widowControl/>
              <w:rPr>
                <w:rFonts w:ascii="宋体" w:hAnsi="宋体" w:cs="宋体"/>
                <w:color w:val="000000"/>
                <w:sz w:val="24"/>
                <w:szCs w:val="24"/>
              </w:rPr>
            </w:pPr>
            <w:r>
              <w:rPr>
                <w:rFonts w:hint="eastAsia" w:ascii="宋体" w:hAnsi="宋体"/>
                <w:b/>
                <w:bCs/>
                <w:iCs/>
                <w:color w:val="0000ff"/>
                <w:sz w:val="24"/>
              </w:rPr>
              <w:t xml:space="preserve">★</w:t>
            </w:r>
            <w:r>
              <w:rPr>
                <w:rFonts w:hint="eastAsia" w:ascii="宋体" w:hAnsi="宋体" w:cs="宋体"/>
                <w:color w:val="000000"/>
                <w:sz w:val="24"/>
                <w:szCs w:val="24"/>
                <w:lang w:bidi="ar"/>
              </w:rPr>
              <w:t xml:space="preserve">犬伤接种留观系统</w:t>
            </w:r>
            <w:r>
              <w:rPr>
                <w:rFonts w:hint="eastAsia" w:ascii="宋体" w:hAnsi="宋体" w:cs="宋体"/>
                <w:color w:val="0000ff"/>
                <w:sz w:val="24"/>
                <w:szCs w:val="24"/>
              </w:rPr>
              <w:t xml:space="preserve">与江苏省犬伤接种系统实现无缝对接，江苏省狂犬病暴露预防接种门诊信息系统升级调整时，犬伤留观系统也需要同步完成升级，不得出现影响狂犬病暴露预防接种门诊信息系统使用的情况，报价中包含与上述系统的对接的所有费用。（提供承诺函并加盖供应商公章）</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（一）基本要求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实现犬伤接种门诊自助30分钟留观，接种时间、离开时间精准记录存留，方便回溯。共享儿童门诊接种自助留观机，实现犬伤接种疫苗后，自助扫码（育苗通二维码、江苏预防接种APP二维码）、刷身份证完成留观，代替手工留观记录书写，避免错误信息，省平台查询留观记录信息。</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（二）技术要求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1.支持自助留观机基础上运行犬伤接种门诊自助留观系统，也支持在其他符合条件的留观机上运行犬伤接种门诊自助留观系统，实现各犬伤接种门诊受种者自助留观功能</w:t>
            </w:r>
            <w:r/>
          </w:p>
          <w:p>
            <w:pPr>
              <w:jc w:val="left"/>
              <w:widowControl/>
              <w:rPr>
                <w:rFonts w:ascii="宋体" w:hAnsi="宋体" w:cs="宋体"/>
                <w:color w:val="0000ff"/>
                <w:sz w:val="24"/>
                <w:szCs w:val="24"/>
              </w:rPr>
            </w:pPr>
            <w:r>
              <w:rPr>
                <w:rFonts w:hint="eastAsia" w:ascii="宋体" w:hAnsi="宋体" w:cs="宋体"/>
                <w:color w:val="0000ff"/>
                <w:sz w:val="24"/>
                <w:szCs w:val="24"/>
              </w:rPr>
              <w:t xml:space="preserve">2.系统需沿用江苏省预防接种综合服务管理信息系统的统一数据标准。</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（三）系统功能要求</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1.支持与省狂犬病暴露预防接种门诊信息系统实现实时的互联互通。支持记录留观时间，支持受种者通过扫描接种凭证或二维码等其他相关介质实现自助留观功能，同时支持生成有效的留观评价，如合格、不合格等。</w:t>
            </w:r>
            <w:r/>
          </w:p>
          <w:p>
            <w:pPr>
              <w:jc w:val="left"/>
              <w:widowControl/>
              <w:rPr>
                <w:rFonts w:ascii="宋体" w:hAnsi="宋体" w:cs="宋体"/>
                <w:color w:val="000000"/>
                <w:sz w:val="24"/>
                <w:szCs w:val="24"/>
              </w:rPr>
            </w:pPr>
            <w:r>
              <w:rPr>
                <w:rFonts w:hint="eastAsia" w:ascii="宋体" w:hAnsi="宋体" w:cs="宋体"/>
                <w:color w:val="ee0000"/>
                <w:sz w:val="24"/>
                <w:szCs w:val="24"/>
              </w:rPr>
              <w:t xml:space="preserve">▲</w:t>
            </w:r>
            <w:r>
              <w:rPr>
                <w:rFonts w:hint="eastAsia" w:ascii="宋体" w:hAnsi="宋体" w:cs="宋体"/>
                <w:color w:val="000000"/>
                <w:sz w:val="24"/>
                <w:szCs w:val="24"/>
              </w:rPr>
              <w:t xml:space="preserve">2.支持本市/区疾控中心、各狂犬病暴露防接种门诊查看狂犬病暴露防接种门诊预防接种自助留观汇总与明细情况，支持导出功能。支持从某段接种日期范围、留观状态、疫苗类别、生产企业等多个维度查看留观情况，同时支持单独查看某个受种者的留观情况。留观汇总情况包含但不限于留观数量、留观占比率、未留观数、留观合格数、留观不合数等，留观明细情况包含但不限于人员姓名、生日、疫苗名称、剂次、接种日期、留观时间、留观评价等。 </w:t>
            </w:r>
            <w:r>
              <w:rPr>
                <w:rFonts w:hint="eastAsia" w:ascii="宋体" w:hAnsi="宋体" w:cs="宋体"/>
                <w:color w:val="ee0000"/>
                <w:sz w:val="24"/>
                <w:szCs w:val="24"/>
                <w:lang w:bidi="ar"/>
              </w:rPr>
              <w:t xml:space="preserve">（提供系统截图并加盖供应商公章）</w:t>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视频监控迁移</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预防接种门诊全流程服务过程视频、音频监控追溯，对接预防接种客户端，门诊服务过程高清视频、音频采集，实现疫苗接种全流程服务追溯（受种者询问健康筛查、门诊等候、疫苗登记知情同意、疫苗接种，自助留观等）。</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迁移后门诊视频督导信息系统，实现门诊全过程的音视频监控，音视频监控应覆盖的主要区域如下：门诊取号及等候区、疫苗登记区、接种候诊区、疫苗接种区、留观等待区、冷链室和副反应处置区。系统应支持音视频的在线实时监控，同时支持对历史音视频的本地回放。</w:t>
            </w:r>
            <w:r/>
          </w:p>
        </w:tc>
      </w:tr>
      <w:tr>
        <w:trPr>
          <w:trHeight w:val="17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智慧化门诊信息化改造升级</w:t>
            </w:r>
            <w:r/>
          </w:p>
        </w:tc>
        <w:tc>
          <w:tcPr>
            <w:tcBorders>
              <w:top w:val="single" w:color="000000" w:sz="4" w:space="0"/>
              <w:left w:val="single" w:color="000000" w:sz="4" w:space="0"/>
              <w:bottom w:val="single" w:color="000000" w:sz="4" w:space="0"/>
              <w:right w:val="single" w:color="000000" w:sz="4" w:space="0"/>
            </w:tcBorders>
            <w:tcW w:w="7281" w:type="dxa"/>
            <w:vAlign w:val="center"/>
            <w:textDirection w:val="lrTb"/>
            <w:noWrap w:val="false"/>
          </w:tcPr>
          <w:p>
            <w:pPr>
              <w:jc w:val="left"/>
              <w:widowControl/>
              <w:rPr>
                <w:rFonts w:ascii="宋体" w:hAnsi="宋体" w:cs="宋体"/>
                <w:color w:val="000000"/>
                <w:sz w:val="24"/>
                <w:szCs w:val="24"/>
              </w:rPr>
            </w:pPr>
            <w:r>
              <w:rPr>
                <w:rFonts w:hint="eastAsia"/>
                <w:sz w:val="24"/>
                <w:szCs w:val="24"/>
              </w:rPr>
              <w:t xml:space="preserve">预防接种门诊，所有建设信息系统、智能化设备对接调试、安装，流程演练，培训工作人员，门诊初次使用现场指导等服务过程。</w:t>
            </w:r>
            <w:r/>
          </w:p>
        </w:tc>
      </w:tr>
    </w:tbl>
    <w:p>
      <w:pPr>
        <w:rPr>
          <w:sz w:val="24"/>
        </w:rPr>
      </w:pPr>
      <w:r>
        <w:rPr>
          <w:sz w:val="24"/>
        </w:rPr>
        <w:t xml:space="preserve">3. 验收标准</w:t>
      </w:r>
      <w:r/>
    </w:p>
    <w:p>
      <w:pPr>
        <w:ind w:firstLine="480"/>
        <w:rPr>
          <w:rFonts w:ascii="宋体" w:hAnsi="宋体"/>
          <w:sz w:val="24"/>
        </w:rPr>
      </w:pPr>
      <w:r>
        <w:rPr>
          <w:rFonts w:hint="eastAsia"/>
          <w:sz w:val="24"/>
        </w:rPr>
        <w:t xml:space="preserve">（</w:t>
      </w:r>
      <w:r>
        <w:rPr>
          <w:sz w:val="24"/>
        </w:rPr>
        <w:t xml:space="preserve">1</w:t>
      </w:r>
      <w:r>
        <w:rPr>
          <w:rFonts w:hint="eastAsia" w:ascii="宋体" w:hAnsi="宋体"/>
          <w:sz w:val="24"/>
        </w:rPr>
        <w:t xml:space="preserve">）验收的范围为采购需求、中标供应商投标文件中的相关承诺以及项目实施过程中采购人提出的具体功能需求。</w:t>
      </w:r>
      <w:r/>
    </w:p>
    <w:p>
      <w:pPr>
        <w:ind w:firstLine="480"/>
        <w:rPr>
          <w:rFonts w:ascii="宋体" w:hAnsi="宋体"/>
          <w:sz w:val="24"/>
        </w:rPr>
      </w:pPr>
      <w:r>
        <w:rPr>
          <w:rFonts w:hint="eastAsia"/>
          <w:sz w:val="24"/>
        </w:rPr>
        <w:t xml:space="preserve">（2）</w:t>
      </w:r>
      <w:r>
        <w:rPr>
          <w:rFonts w:hint="eastAsia" w:ascii="宋体" w:hAnsi="宋体"/>
          <w:sz w:val="24"/>
        </w:rPr>
        <w:t xml:space="preserve">验收时间：完成本项目各项功能需求开发，系统稳定运行1个月后。</w:t>
      </w:r>
      <w:r/>
    </w:p>
    <w:p>
      <w:pPr>
        <w:ind w:firstLine="480"/>
        <w:rPr>
          <w:rFonts w:ascii="宋体" w:hAnsi="宋体"/>
          <w:sz w:val="24"/>
        </w:rPr>
      </w:pPr>
      <w:r>
        <w:rPr>
          <w:rFonts w:ascii="宋体" w:hAnsi="宋体"/>
          <w:sz w:val="24"/>
        </w:rPr>
      </w:r>
      <w:r/>
    </w:p>
    <w:p>
      <w:pPr>
        <w:widowControl/>
        <w:rPr>
          <w:b/>
          <w:sz w:val="24"/>
        </w:rPr>
      </w:pPr>
      <w:r>
        <w:rPr>
          <w:b/>
          <w:sz w:val="24"/>
        </w:rPr>
      </w:r>
      <w:r/>
    </w:p>
    <w:p>
      <w:pPr>
        <w:rPr>
          <w:sz w:val="24"/>
        </w:rPr>
      </w:pPr>
      <w:r>
        <w:rPr>
          <w:sz w:val="24"/>
        </w:rPr>
        <w:t xml:space="preserve">4. 其他要求</w:t>
      </w:r>
      <w:r/>
    </w:p>
    <w:p>
      <w:pPr>
        <w:numPr>
          <w:ilvl w:val="0"/>
          <w:numId w:val="5"/>
        </w:numPr>
        <w:spacing w:line="360" w:lineRule="auto"/>
        <w:rPr>
          <w:rFonts w:ascii="宋体" w:hAnsi="宋体" w:cs="宋体"/>
          <w:sz w:val="24"/>
        </w:rPr>
      </w:pPr>
      <w:r>
        <w:rPr>
          <w:rFonts w:hint="eastAsia" w:ascii="宋体" w:hAnsi="宋体" w:cs="宋体"/>
          <w:sz w:val="24"/>
          <w:lang w:bidi="ar"/>
        </w:rPr>
        <w:t xml:space="preserve">本项目已明确的服务内容，供应商不得以任何理由再向采购人收取任何费用。</w:t>
      </w:r>
      <w:r/>
    </w:p>
    <w:p>
      <w:pPr>
        <w:numPr>
          <w:ilvl w:val="0"/>
          <w:numId w:val="5"/>
        </w:numPr>
        <w:spacing w:line="360" w:lineRule="auto"/>
        <w:rPr>
          <w:rFonts w:ascii="宋体" w:hAnsi="宋体" w:cs="宋体"/>
          <w:sz w:val="24"/>
          <w:lang w:bidi="ar"/>
        </w:rPr>
      </w:pPr>
      <w:r>
        <w:rPr>
          <w:rFonts w:hint="eastAsia" w:ascii="宋体" w:hAnsi="宋体" w:cs="宋体"/>
          <w:sz w:val="24"/>
          <w:lang w:bidi="ar"/>
        </w:rPr>
        <w:t xml:space="preserve">为保障服务质量及系统持续稳定运行，要求供应商须按照招标文件中的需求和投标文件中的承诺完成项目团队组建。</w:t>
      </w:r>
      <w:r/>
    </w:p>
    <w:p>
      <w:pPr>
        <w:numPr>
          <w:ilvl w:val="0"/>
          <w:numId w:val="5"/>
        </w:numPr>
        <w:spacing w:line="360" w:lineRule="auto"/>
        <w:rPr>
          <w:rFonts w:ascii="宋体" w:hAnsi="宋体" w:cs="宋体"/>
          <w:sz w:val="24"/>
          <w:lang w:bidi="ar"/>
        </w:rPr>
      </w:pPr>
      <w:r>
        <w:rPr>
          <w:rFonts w:hint="eastAsia" w:ascii="宋体" w:hAnsi="宋体" w:cs="宋体"/>
          <w:sz w:val="24"/>
          <w:lang w:bidi="ar"/>
        </w:rPr>
        <w:t xml:space="preserve">本项目合同不得转让，不得分包。</w:t>
      </w:r>
      <w:r/>
    </w:p>
    <w:p>
      <w:pPr>
        <w:rPr>
          <w:rFonts w:eastAsia="Times New Roman"/>
          <w:color w:val="000000"/>
          <w:sz w:val="28"/>
        </w:rPr>
        <w:pBdr>
          <w:top w:val="none" w:color="000000" w:sz="0" w:space="0"/>
          <w:left w:val="none" w:color="000000" w:sz="0" w:space="0"/>
          <w:bottom w:val="none" w:color="000000" w:sz="0" w:space="0"/>
          <w:right w:val="none" w:color="000000" w:sz="0" w:space="0"/>
        </w:pBdr>
      </w:pPr>
      <w:r>
        <w:rPr>
          <w:rFonts w:eastAsia="Times New Roman"/>
          <w:color w:val="000000"/>
          <w:sz w:val="28"/>
        </w:rPr>
      </w:r>
      <w:r/>
    </w:p>
    <w:p>
      <w:pPr>
        <w:pBdr>
          <w:top w:val="none" w:color="000000" w:sz="0" w:space="0"/>
          <w:left w:val="none" w:color="000000" w:sz="0" w:space="0"/>
          <w:bottom w:val="none" w:color="000000" w:sz="0" w:space="0"/>
          <w:right w:val="none" w:color="000000" w:sz="0" w:space="0"/>
        </w:pBdr>
      </w:pPr>
      <w:r>
        <w:rPr>
          <w:rFonts w:eastAsia="Times New Roman"/>
          <w:color w:val="000000"/>
          <w:sz w:val="28"/>
        </w:rPr>
        <w:t xml:space="preserve">5.</w:t>
      </w:r>
      <w:r>
        <w:rPr>
          <w:rFonts w:ascii="宋体" w:hAnsi="宋体" w:cs="宋体"/>
          <w:b/>
          <w:color w:val="000000"/>
          <w:sz w:val="28"/>
        </w:rPr>
        <w:t xml:space="preserve">实质性要求</w:t>
      </w:r>
      <w:r/>
    </w:p>
    <w:p>
      <w:pPr>
        <w:ind w:firstLine="480"/>
        <w:spacing w:line="360" w:lineRule="auto"/>
        <w:rPr>
          <w:rFonts w:ascii="宋体" w:hAnsi="宋体" w:cs="宋体"/>
          <w:bCs/>
          <w:sz w:val="24"/>
        </w:rPr>
      </w:pPr>
      <w:r>
        <w:rPr>
          <w:rFonts w:hint="eastAsia" w:ascii="宋体" w:hAnsi="宋体" w:cs="宋体"/>
          <w:bCs/>
          <w:sz w:val="24"/>
        </w:rPr>
        <w:t xml:space="preserve">★需供应商提供承诺函，格式自拟。</w:t>
      </w:r>
      <w:r/>
    </w:p>
    <w:p>
      <w:pPr>
        <w:ind w:firstLine="480"/>
        <w:spacing w:line="360" w:lineRule="auto"/>
        <w:rPr>
          <w:rFonts w:ascii="宋体" w:hAnsi="宋体" w:cs="宋体"/>
          <w:color w:val="0000ff"/>
          <w:sz w:val="24"/>
          <w:szCs w:val="24"/>
        </w:rPr>
      </w:pPr>
      <w:r>
        <w:rPr>
          <w:rFonts w:hint="eastAsia" w:ascii="宋体" w:hAnsi="宋体" w:cs="宋体"/>
          <w:bCs/>
          <w:sz w:val="24"/>
        </w:rPr>
        <w:t xml:space="preserve">5.1 </w:t>
      </w:r>
      <w:r>
        <w:rPr>
          <w:rFonts w:hint="eastAsia" w:ascii="宋体" w:hAnsi="宋体" w:cs="宋体"/>
          <w:color w:val="000000"/>
          <w:sz w:val="24"/>
          <w:szCs w:val="24"/>
          <w:lang w:bidi="ar"/>
        </w:rPr>
        <w:t xml:space="preserve">疫苗智能分类存储小冰箱信息系统--</w:t>
      </w:r>
      <w:r>
        <w:rPr>
          <w:rFonts w:hint="eastAsia" w:ascii="宋体" w:hAnsi="宋体"/>
          <w:b/>
          <w:bCs/>
          <w:iCs/>
          <w:color w:val="0000ff"/>
          <w:sz w:val="24"/>
        </w:rPr>
        <w:t xml:space="preserve">★</w:t>
      </w:r>
      <w:r>
        <w:rPr>
          <w:rFonts w:hint="eastAsia" w:ascii="宋体" w:hAnsi="宋体" w:cs="宋体"/>
          <w:color w:val="000000"/>
          <w:sz w:val="24"/>
          <w:szCs w:val="24"/>
          <w:lang w:bidi="ar"/>
        </w:rPr>
        <w:t xml:space="preserve">疫苗智能分类存储小冰箱信息系统</w:t>
      </w:r>
      <w:r>
        <w:rPr>
          <w:rFonts w:hint="eastAsia"/>
          <w:color w:val="0000ff"/>
          <w:sz w:val="24"/>
          <w:szCs w:val="24"/>
        </w:rPr>
        <w:t xml:space="preserve">与江苏省儿童预防接种客户端无缝对接，接入费用由供应商承担。</w:t>
      </w:r>
      <w:r>
        <w:rPr>
          <w:rFonts w:hint="eastAsia" w:ascii="宋体" w:hAnsi="宋体" w:cs="宋体"/>
          <w:color w:val="0000ff"/>
          <w:sz w:val="24"/>
          <w:szCs w:val="24"/>
        </w:rPr>
        <w:t xml:space="preserve">（提供承诺函并加盖供应商公章）</w:t>
      </w:r>
      <w:r/>
    </w:p>
    <w:p>
      <w:pPr>
        <w:ind w:firstLine="480"/>
        <w:spacing w:line="360" w:lineRule="auto"/>
        <w:rPr>
          <w:rFonts w:ascii="宋体" w:hAnsi="宋体" w:cs="宋体"/>
          <w:color w:val="0000ff"/>
          <w:sz w:val="24"/>
          <w:szCs w:val="24"/>
        </w:rPr>
      </w:pPr>
      <w:r>
        <w:rPr>
          <w:rFonts w:hint="eastAsia" w:ascii="宋体" w:hAnsi="宋体" w:cs="宋体"/>
          <w:color w:val="0000ff"/>
          <w:sz w:val="24"/>
          <w:szCs w:val="24"/>
        </w:rPr>
        <w:t xml:space="preserve">5.2 </w:t>
      </w:r>
      <w:r>
        <w:rPr>
          <w:rFonts w:hint="eastAsia" w:ascii="宋体" w:hAnsi="宋体" w:cs="宋体"/>
          <w:color w:val="000000"/>
          <w:sz w:val="24"/>
          <w:szCs w:val="24"/>
          <w:lang w:bidi="ar"/>
        </w:rPr>
        <w:t xml:space="preserve">门诊指标大数据分析系统--</w:t>
      </w:r>
      <w:r>
        <w:rPr>
          <w:rFonts w:hint="eastAsia" w:ascii="宋体" w:hAnsi="宋体"/>
          <w:b/>
          <w:bCs/>
          <w:iCs/>
          <w:color w:val="0000ff"/>
          <w:sz w:val="24"/>
        </w:rPr>
        <w:t xml:space="preserve">★</w:t>
      </w:r>
      <w:r>
        <w:rPr>
          <w:rFonts w:hint="eastAsia" w:ascii="宋体" w:hAnsi="宋体" w:cs="宋体"/>
          <w:color w:val="000000"/>
          <w:sz w:val="24"/>
          <w:szCs w:val="24"/>
          <w:lang w:bidi="ar"/>
        </w:rPr>
        <w:t xml:space="preserve">门诊指标大数据分析系统</w:t>
      </w:r>
      <w:r>
        <w:rPr>
          <w:rFonts w:hint="eastAsia" w:ascii="宋体" w:hAnsi="宋体" w:cs="宋体"/>
          <w:color w:val="0000ff"/>
          <w:sz w:val="24"/>
          <w:szCs w:val="24"/>
        </w:rPr>
        <w:t xml:space="preserve">与江苏省儿童预防接种客户端无缝对接，报价中包含与上述系统的对接的所有费用。（提供承诺函并加盖供应商公章）</w:t>
      </w:r>
      <w:r/>
    </w:p>
    <w:p>
      <w:pPr>
        <w:ind w:firstLine="480"/>
        <w:spacing w:line="360" w:lineRule="auto"/>
        <w:rPr>
          <w:rFonts w:ascii="宋体" w:hAnsi="宋体" w:cs="宋体"/>
          <w:color w:val="0000ff"/>
          <w:sz w:val="24"/>
          <w:szCs w:val="24"/>
        </w:rPr>
      </w:pPr>
      <w:r>
        <w:rPr>
          <w:rFonts w:hint="eastAsia" w:ascii="宋体" w:hAnsi="宋体" w:cs="宋体"/>
          <w:color w:val="0000ff"/>
          <w:sz w:val="24"/>
          <w:szCs w:val="24"/>
        </w:rPr>
        <w:t xml:space="preserve">5.3 </w:t>
      </w:r>
      <w:r>
        <w:rPr>
          <w:rFonts w:hint="eastAsia" w:ascii="宋体" w:hAnsi="宋体" w:cs="宋体"/>
          <w:color w:val="000000"/>
          <w:sz w:val="24"/>
          <w:szCs w:val="24"/>
          <w:lang w:bidi="ar"/>
        </w:rPr>
        <w:t xml:space="preserve">预防接种自助服务系统--</w:t>
      </w:r>
      <w:r>
        <w:rPr>
          <w:rFonts w:hint="eastAsia" w:ascii="宋体" w:hAnsi="宋体"/>
          <w:b/>
          <w:bCs/>
          <w:iCs/>
          <w:color w:val="0000ff"/>
          <w:sz w:val="24"/>
        </w:rPr>
        <w:t xml:space="preserve">★</w:t>
      </w:r>
      <w:r>
        <w:rPr>
          <w:rFonts w:hint="eastAsia" w:ascii="宋体" w:hAnsi="宋体" w:cs="宋体"/>
          <w:color w:val="000000"/>
          <w:sz w:val="24"/>
          <w:szCs w:val="24"/>
          <w:lang w:bidi="ar"/>
        </w:rPr>
        <w:t xml:space="preserve">预防接种自助服务系统</w:t>
      </w:r>
      <w:r>
        <w:rPr>
          <w:rFonts w:hint="eastAsia" w:ascii="宋体" w:hAnsi="宋体" w:cs="宋体"/>
          <w:color w:val="0000ff"/>
          <w:sz w:val="24"/>
          <w:szCs w:val="24"/>
        </w:rPr>
        <w:t xml:space="preserve">与预防接种客户端、省平台入托入学子系统无缝对接，报价中包含与上述系统的对接的所有费用。（提供承诺函并加盖供应商公章）</w:t>
      </w:r>
      <w:r/>
    </w:p>
    <w:p>
      <w:pPr>
        <w:ind w:firstLine="480"/>
        <w:spacing w:line="360" w:lineRule="auto"/>
        <w:rPr>
          <w:rFonts w:ascii="宋体" w:hAnsi="宋体" w:cs="宋体"/>
          <w:color w:val="0000ff"/>
          <w:sz w:val="24"/>
          <w:szCs w:val="24"/>
        </w:rPr>
      </w:pPr>
      <w:r>
        <w:rPr>
          <w:rFonts w:hint="eastAsia" w:ascii="宋体" w:hAnsi="宋体" w:cs="宋体"/>
          <w:color w:val="0000ff"/>
          <w:sz w:val="24"/>
          <w:szCs w:val="24"/>
        </w:rPr>
        <w:t xml:space="preserve">5.4 犬伤电子核签系统（暴露接种知情）--</w:t>
      </w:r>
      <w:r>
        <w:rPr>
          <w:rFonts w:hint="eastAsia" w:ascii="宋体" w:hAnsi="宋体"/>
          <w:b/>
          <w:bCs/>
          <w:iCs/>
          <w:color w:val="0000ff"/>
          <w:sz w:val="24"/>
        </w:rPr>
        <w:t xml:space="preserve">★</w:t>
      </w:r>
      <w:r>
        <w:rPr>
          <w:rFonts w:hint="eastAsia" w:ascii="宋体" w:hAnsi="宋体" w:cs="宋体"/>
          <w:color w:val="0000ff"/>
          <w:sz w:val="24"/>
          <w:szCs w:val="24"/>
        </w:rPr>
        <w:t xml:space="preserve">电子核签设备</w:t>
      </w:r>
      <w:r>
        <w:rPr>
          <w:rFonts w:hint="eastAsia"/>
          <w:color w:val="0000ff"/>
          <w:sz w:val="24"/>
          <w:szCs w:val="24"/>
        </w:rPr>
        <w:t xml:space="preserve">与</w:t>
      </w:r>
      <w:r>
        <w:rPr>
          <w:rFonts w:hint="eastAsia" w:ascii="宋体" w:hAnsi="宋体" w:cs="宋体"/>
          <w:color w:val="0000ff"/>
          <w:sz w:val="24"/>
          <w:szCs w:val="24"/>
        </w:rPr>
        <w:t xml:space="preserve">江苏省狂犬病防接种管理系统</w:t>
      </w:r>
      <w:r>
        <w:rPr>
          <w:rFonts w:hint="eastAsia"/>
          <w:color w:val="0000ff"/>
          <w:sz w:val="24"/>
          <w:szCs w:val="24"/>
        </w:rPr>
        <w:t xml:space="preserve">无缝对接</w:t>
      </w:r>
      <w:r>
        <w:rPr>
          <w:rFonts w:hint="eastAsia" w:ascii="宋体" w:hAnsi="宋体" w:cs="宋体"/>
          <w:color w:val="0000ff"/>
          <w:sz w:val="24"/>
          <w:szCs w:val="24"/>
        </w:rPr>
        <w:t xml:space="preserve">，报价中包含与上述系统的对接的所有费用。（提供承诺函并加盖供应商公章）</w:t>
      </w:r>
      <w:r/>
    </w:p>
    <w:p>
      <w:pPr>
        <w:ind w:firstLine="480"/>
        <w:spacing w:line="360" w:lineRule="auto"/>
        <w:rPr>
          <w:rFonts w:ascii="宋体" w:hAnsi="宋体" w:cs="宋体"/>
          <w:color w:val="0000ff"/>
          <w:sz w:val="24"/>
          <w:szCs w:val="24"/>
        </w:rPr>
      </w:pPr>
      <w:r>
        <w:rPr>
          <w:rFonts w:hint="eastAsia" w:ascii="宋体" w:hAnsi="宋体" w:cs="宋体"/>
          <w:color w:val="0000ff"/>
          <w:sz w:val="24"/>
          <w:szCs w:val="24"/>
        </w:rPr>
        <w:t xml:space="preserve">5.5 犬伤电子核签系统（接种告知）--</w:t>
      </w:r>
      <w:r>
        <w:rPr>
          <w:rFonts w:hint="eastAsia" w:ascii="宋体" w:hAnsi="宋体"/>
          <w:b/>
          <w:bCs/>
          <w:iCs/>
          <w:color w:val="0000ff"/>
          <w:sz w:val="24"/>
        </w:rPr>
        <w:t xml:space="preserve">★</w:t>
      </w:r>
      <w:r>
        <w:rPr>
          <w:rFonts w:hint="eastAsia" w:ascii="宋体" w:hAnsi="宋体" w:cs="宋体"/>
          <w:color w:val="0000ff"/>
          <w:sz w:val="24"/>
          <w:szCs w:val="24"/>
        </w:rPr>
        <w:t xml:space="preserve">电子核签设备</w:t>
      </w:r>
      <w:r>
        <w:rPr>
          <w:rFonts w:hint="eastAsia"/>
          <w:color w:val="0000ff"/>
          <w:sz w:val="24"/>
          <w:szCs w:val="24"/>
        </w:rPr>
        <w:t xml:space="preserve">与</w:t>
      </w:r>
      <w:r>
        <w:rPr>
          <w:rFonts w:hint="eastAsia" w:ascii="宋体" w:hAnsi="宋体" w:cs="宋体"/>
          <w:color w:val="0000ff"/>
          <w:sz w:val="24"/>
          <w:szCs w:val="24"/>
        </w:rPr>
        <w:t xml:space="preserve">江苏省狂犬病防接种管理系统</w:t>
      </w:r>
      <w:r>
        <w:rPr>
          <w:rFonts w:hint="eastAsia"/>
          <w:color w:val="0000ff"/>
          <w:sz w:val="24"/>
          <w:szCs w:val="24"/>
        </w:rPr>
        <w:t xml:space="preserve">无缝对接</w:t>
      </w:r>
      <w:r>
        <w:rPr>
          <w:rFonts w:hint="eastAsia" w:ascii="宋体" w:hAnsi="宋体" w:cs="宋体"/>
          <w:color w:val="0000ff"/>
          <w:sz w:val="24"/>
          <w:szCs w:val="24"/>
        </w:rPr>
        <w:t xml:space="preserve">，报价中包含与上述系统的对接的所有费用。（提供承诺函并加盖供应商公章）</w:t>
      </w:r>
      <w:r/>
    </w:p>
    <w:p>
      <w:pPr>
        <w:ind w:firstLine="480"/>
        <w:spacing w:line="360" w:lineRule="auto"/>
        <w:rPr>
          <w:rFonts w:ascii="宋体" w:hAnsi="宋体" w:cs="宋体"/>
          <w:color w:val="0000ff"/>
          <w:sz w:val="24"/>
          <w:szCs w:val="24"/>
        </w:rPr>
      </w:pPr>
      <w:r>
        <w:rPr>
          <w:rFonts w:hint="eastAsia" w:ascii="宋体" w:hAnsi="宋体" w:cs="宋体"/>
          <w:color w:val="0000ff"/>
          <w:sz w:val="24"/>
          <w:szCs w:val="24"/>
        </w:rPr>
        <w:t xml:space="preserve">5.6 犬伤接种留观系统--</w:t>
      </w:r>
      <w:r>
        <w:rPr>
          <w:rFonts w:hint="eastAsia" w:ascii="宋体" w:hAnsi="宋体"/>
          <w:b/>
          <w:bCs/>
          <w:iCs/>
          <w:color w:val="0000ff"/>
          <w:sz w:val="24"/>
        </w:rPr>
        <w:t xml:space="preserve">★</w:t>
      </w:r>
      <w:r>
        <w:rPr>
          <w:rFonts w:hint="eastAsia" w:ascii="宋体" w:hAnsi="宋体" w:cs="宋体"/>
          <w:color w:val="000000"/>
          <w:sz w:val="24"/>
          <w:szCs w:val="24"/>
          <w:lang w:bidi="ar"/>
        </w:rPr>
        <w:t xml:space="preserve">犬伤接种留观系统</w:t>
      </w:r>
      <w:r>
        <w:rPr>
          <w:rFonts w:hint="eastAsia" w:ascii="宋体" w:hAnsi="宋体" w:cs="宋体"/>
          <w:color w:val="0000ff"/>
          <w:sz w:val="24"/>
          <w:szCs w:val="24"/>
        </w:rPr>
        <w:t xml:space="preserve">与江苏省犬伤接种系统实现无缝对接，江苏省狂犬病暴露预防接种门诊信息系统升级调整时，犬伤留观系统也需要同步完成升级，不得出现影响狂犬病暴露预防接种门诊信息系统使用的情况，报价中包含与上述系统的对接的所有费用。（提供承诺函并加盖供应商公章）</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6.</w:t>
      </w:r>
      <w:r>
        <w:rPr>
          <w:rFonts w:ascii="宋体" w:hAnsi="宋体" w:cs="宋体"/>
          <w:color w:val="000000"/>
          <w:sz w:val="24"/>
        </w:rPr>
        <w:t xml:space="preserve">样品</w:t>
      </w:r>
      <w:r/>
    </w:p>
    <w:p>
      <w:pPr>
        <w:pBdr>
          <w:top w:val="none" w:color="000000" w:sz="0" w:space="0"/>
          <w:left w:val="none" w:color="000000" w:sz="0" w:space="0"/>
          <w:bottom w:val="none" w:color="000000" w:sz="0" w:space="0"/>
          <w:right w:val="none" w:color="000000" w:sz="0" w:space="0"/>
        </w:pBdr>
      </w:pPr>
      <w:r>
        <w:rPr>
          <w:rFonts w:hint="eastAsia"/>
        </w:rPr>
        <w:t xml:space="preserve">无</w:t>
      </w:r>
      <w:r/>
    </w:p>
    <w:p>
      <w:pPr>
        <w:rPr>
          <w:rFonts w:eastAsia="Times New Roman"/>
          <w:color w:val="000000"/>
          <w:sz w:val="24"/>
        </w:rPr>
        <w:pBdr>
          <w:top w:val="none" w:color="000000" w:sz="0" w:space="0"/>
          <w:left w:val="none" w:color="000000" w:sz="0" w:space="0"/>
          <w:bottom w:val="none" w:color="000000" w:sz="0" w:space="0"/>
          <w:right w:val="none" w:color="000000" w:sz="0" w:space="0"/>
        </w:pBdr>
      </w:pPr>
      <w:r>
        <w:rPr>
          <w:rFonts w:eastAsia="Times New Roman"/>
          <w:color w:val="000000"/>
          <w:sz w:val="24"/>
        </w:rPr>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7.</w:t>
      </w:r>
      <w:r>
        <w:rPr>
          <w:rFonts w:ascii="宋体" w:hAnsi="宋体" w:cs="宋体"/>
          <w:color w:val="000000"/>
          <w:sz w:val="24"/>
        </w:rPr>
        <w:t xml:space="preserve">演示</w:t>
      </w:r>
      <w:r/>
    </w:p>
    <w:p>
      <w:pPr>
        <w:pBdr>
          <w:top w:val="none" w:color="000000" w:sz="0" w:space="0"/>
          <w:left w:val="none" w:color="000000" w:sz="0" w:space="0"/>
          <w:bottom w:val="none" w:color="000000" w:sz="0" w:space="0"/>
          <w:right w:val="none" w:color="000000" w:sz="0" w:space="0"/>
        </w:pBdr>
      </w:pPr>
      <w:r>
        <w:rPr>
          <w:rFonts w:hint="eastAsia"/>
        </w:rPr>
        <w:t xml:space="preserve">无</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8.采购标的对应的中小企业划分标准所属行业一览表</w:t>
      </w:r>
      <w:r/>
    </w:p>
    <w:tbl>
      <w:tblPr>
        <w:tblStyle w:val="765"/>
        <w:tblW w:w="66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414"/>
        <w:gridCol w:w="27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常州市新北区三井人民医院智慧化预防接种门诊建设项目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软件和信息技术服务业</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left"/>
        <w:widowControl/>
        <w:rPr>
          <w:rFonts w:ascii="黑体" w:hAnsi="黑体" w:eastAsia="黑体" w:cs="黑体"/>
          <w:b/>
          <w:color w:val="000000"/>
          <w:sz w:val="44"/>
        </w:rPr>
      </w:pPr>
      <w:r>
        <w:rPr>
          <w:rFonts w:ascii="黑体" w:hAnsi="黑体" w:eastAsia="黑体" w:cs="黑体"/>
          <w:b/>
          <w:color w:val="000000"/>
          <w:sz w:val="44"/>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第五章</w:t>
      </w:r>
      <w:r>
        <w:rPr>
          <w:rFonts w:ascii="Calibri" w:hAnsi="Calibri" w:eastAsia="Calibri" w:cs="Calibri"/>
          <w:b/>
          <w:color w:val="000000"/>
          <w:sz w:val="44"/>
        </w:rPr>
        <w:t xml:space="preserve"> </w:t>
      </w:r>
      <w:r>
        <w:rPr>
          <w:rFonts w:ascii="黑体" w:hAnsi="黑体" w:eastAsia="黑体" w:cs="黑体"/>
          <w:b/>
          <w:color w:val="000000"/>
          <w:sz w:val="44"/>
        </w:rPr>
        <w:t xml:space="preserve"> 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39"/>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采用综合评分法的，评标结果按评审后得分由高到低顺序排列。得分相同的，按投标报价由低到高顺序排列。得分且投标报价相同的并列。</w:t>
      </w:r>
      <w:r>
        <w:rPr>
          <w:rFonts w:ascii="宋体" w:hAnsi="宋体" w:cs="宋体"/>
          <w:color w:val="000000"/>
        </w:rPr>
        <w:t xml:space="preserve">投标文件满足招标文件全部实质性要求，且按照评审因素的量化指标评审得分最高的投标人为中标候选人。本项目分包选取一名中标候选人。</w:t>
      </w:r>
      <w:r/>
    </w:p>
    <w:p>
      <w:pPr>
        <w:ind w:firstLine="441"/>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本项目属于专门面向中小企业预留份额采购项目，按规定不再执行小微型企业价格扣除政策。</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2"/>
        <w:spacing w:before="120" w:after="120" w:line="3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评标方法与评标标准</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40"/>
        <w:tblW w:w="9445" w:type="dxa"/>
        <w:tblInd w:w="-88" w:type="dxa"/>
        <w:tblLayout w:type="fixed"/>
        <w:tblCellMar>
          <w:left w:w="0" w:type="dxa"/>
          <w:top w:w="0" w:type="dxa"/>
          <w:right w:w="0" w:type="dxa"/>
          <w:bottom w:w="0" w:type="dxa"/>
        </w:tblCellMar>
        <w:tblLook w:val="04A0" w:firstRow="1" w:lastRow="0" w:firstColumn="1" w:lastColumn="0" w:noHBand="0" w:noVBand="1"/>
      </w:tblPr>
      <w:tblGrid>
        <w:gridCol w:w="831"/>
        <w:gridCol w:w="1434"/>
        <w:gridCol w:w="4340"/>
        <w:gridCol w:w="765"/>
        <w:gridCol w:w="608"/>
        <w:gridCol w:w="733"/>
        <w:gridCol w:w="734"/>
      </w:tblGrid>
      <w:tr>
        <w:trPr>
          <w:trHeight w:val="420"/>
        </w:trPr>
        <w:tc>
          <w:tcPr>
            <w:tcBorders>
              <w:top w:val="single" w:color="000000" w:sz="8" w:space="0"/>
              <w:left w:val="single" w:color="000000" w:sz="8" w:space="0"/>
              <w:bottom w:val="single" w:color="000000" w:sz="8" w:space="0"/>
              <w:right w:val="single" w:color="000000" w:sz="8" w:space="0"/>
            </w:tcBorders>
            <w:tcW w:w="831"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608" w:type="dxa"/>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733" w:type="dxa"/>
            <w:textDirection w:val="lrTb"/>
            <w:noWrap w:val="false"/>
          </w:tcPr>
          <w:p>
            <w:pPr>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734" w:type="dxa"/>
            <w:textDirection w:val="lrTb"/>
            <w:noWrap w:val="false"/>
          </w:tcPr>
          <w:p>
            <w:pPr>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831"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采用低价优先法计算，即满足招标文件要求且投标价格最低的投标报价为评标基准价，其价格分为满分。其他满足招标文件要求的供应商的价格分统一按照下列公式计算： 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10</w:t>
            </w:r>
            <w:r/>
          </w:p>
        </w:tc>
        <w:tc>
          <w:tcPr>
            <w:tcBorders>
              <w:top w:val="single" w:color="000000" w:sz="8" w:space="0"/>
              <w:left w:val="single" w:color="000000" w:sz="8" w:space="0"/>
              <w:bottom w:val="single" w:color="000000" w:sz="8" w:space="0"/>
              <w:right w:val="single" w:color="000000" w:sz="8" w:space="0"/>
            </w:tcBorders>
            <w:tcW w:w="733"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4"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1" w:type="dxa"/>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center"/>
              <w:widowControl/>
              <w:rPr>
                <w:rFonts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rPr>
                <w:rFonts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608" w:type="dxa"/>
            <w:textDirection w:val="lrTb"/>
            <w:noWrap w:val="false"/>
          </w:tcPr>
          <w:p>
            <w:pPr>
              <w:jc w:val="center"/>
              <w:rPr>
                <w:rFonts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733" w:type="dxa"/>
            <w:textDirection w:val="lrTb"/>
            <w:noWrap w:val="false"/>
          </w:tcPr>
          <w:p>
            <w:pPr>
              <w:jc w:val="center"/>
              <w:rPr>
                <w:rFonts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734" w:type="dxa"/>
            <w:textDirection w:val="lrTb"/>
            <w:noWrap w:val="false"/>
          </w:tcPr>
          <w:p>
            <w:pPr>
              <w:jc w:val="center"/>
              <w:rPr>
                <w:rFonts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技术分</w:t>
            </w:r>
            <w:r/>
          </w:p>
          <w:p>
            <w:pPr>
              <w:jc w:val="center"/>
              <w:widowControl/>
              <w:rPr>
                <w:rFonts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left"/>
              <w:widowControl/>
              <w:rPr>
                <w:rFonts w:ascii="宋体" w:hAnsi="宋体" w:cs="宋体"/>
                <w:b/>
                <w:bCs/>
                <w:sz w:val="20"/>
                <w:szCs w:val="20"/>
              </w:rPr>
            </w:pPr>
            <w:r>
              <w:rPr>
                <w:rFonts w:hint="eastAsia" w:ascii="宋体" w:hAnsi="宋体" w:cs="宋体"/>
                <w:b/>
                <w:bCs/>
                <w:sz w:val="20"/>
                <w:szCs w:val="20"/>
              </w:rPr>
              <w:t xml:space="preserve">投标文件内下列2.1</w:t>
            </w:r>
            <w:r>
              <w:rPr>
                <w:rFonts w:hint="eastAsia" w:ascii="宋体" w:hAnsi="宋体" w:cs="宋体"/>
                <w:b/>
                <w:bCs/>
                <w:sz w:val="20"/>
                <w:szCs w:val="20"/>
                <w:lang w:val="en-US" w:eastAsia="zh-CN"/>
              </w:rPr>
              <w:t xml:space="preserve">-</w:t>
            </w:r>
            <w:r>
              <w:rPr>
                <w:rFonts w:hint="eastAsia" w:ascii="宋体" w:hAnsi="宋体" w:cs="宋体"/>
                <w:b/>
                <w:bCs/>
                <w:sz w:val="20"/>
                <w:szCs w:val="20"/>
              </w:rPr>
              <w:t xml:space="preserve">2.5评分项属于暗标评审项目，各投标人（供应商）提供评审材料中不能出现投标人（供应商）的名称、标志、标记以及其它能够体现投标人（供应商）的信息，否则所有暗标评审项目均不得分。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08"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3"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4" w:type="dxa"/>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系统对接方案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b/>
                <w:bCs/>
                <w:color w:val="000000" w:themeColor="text1"/>
                <w:sz w:val="20"/>
                <w:szCs w:val="20"/>
                <w:highlight w:val="white"/>
              </w:rPr>
            </w:pPr>
            <w:r>
              <w:rPr>
                <w:rFonts w:ascii="宋体" w:hAnsi="宋体" w:cs="Arial"/>
                <w:color w:val="000000"/>
                <w:highlight w:val="white"/>
              </w:rPr>
              <w:t xml:space="preserve">所投产品需与</w:t>
            </w:r>
            <w:r>
              <w:rPr>
                <w:rFonts w:hint="eastAsia" w:ascii="宋体" w:hAnsi="宋体" w:cs="Arial"/>
                <w:highlight w:val="white"/>
              </w:rPr>
              <w:t xml:space="preserve">常州</w:t>
            </w:r>
            <w:r>
              <w:rPr>
                <w:rFonts w:ascii="宋体" w:hAnsi="宋体" w:cs="Arial"/>
                <w:highlight w:val="white"/>
              </w:rPr>
              <w:t xml:space="preserve">市</w:t>
            </w:r>
            <w:r>
              <w:rPr>
                <w:rFonts w:ascii="宋体" w:hAnsi="宋体" w:cs="Arial"/>
                <w:color w:val="000000"/>
                <w:highlight w:val="white"/>
              </w:rPr>
              <w:t xml:space="preserve">使用的预</w:t>
            </w:r>
            <w:r>
              <w:rPr>
                <w:rFonts w:ascii="宋体" w:hAnsi="宋体" w:cs="Arial"/>
                <w:color w:val="000000" w:themeColor="text1"/>
                <w:highlight w:val="white"/>
              </w:rPr>
              <w:t xml:space="preserve">防接种信息系统/数字化门诊系统无缝对接</w:t>
            </w:r>
            <w:r>
              <w:rPr>
                <w:rFonts w:hint="eastAsia" w:ascii="宋体" w:hAnsi="宋体" w:cs="宋体"/>
                <w:b/>
                <w:bCs/>
                <w:color w:val="000000" w:themeColor="text1"/>
                <w:sz w:val="20"/>
                <w:szCs w:val="20"/>
                <w:highlight w:val="white"/>
              </w:rPr>
              <w:t xml:space="preserve">，</w:t>
            </w:r>
            <w:r>
              <w:rPr>
                <w:rFonts w:hint="eastAsia" w:ascii="宋体" w:hAnsi="宋体" w:cs="宋体"/>
                <w:b/>
                <w:bCs/>
                <w:color w:val="000000" w:themeColor="text1"/>
                <w:sz w:val="20"/>
                <w:szCs w:val="20"/>
                <w:highlight w:val="white"/>
              </w:rPr>
              <w:t xml:space="preserve">提供对接服务方案。</w:t>
            </w:r>
            <w:r>
              <w:rPr>
                <w:color w:val="000000" w:themeColor="text1"/>
                <w:highlight w:val="white"/>
              </w:rPr>
            </w:r>
            <w:r/>
          </w:p>
          <w:p>
            <w:pPr>
              <w:widowControl/>
              <w:rPr>
                <w:rFonts w:ascii="宋体" w:hAnsi="宋体" w:cs="宋体"/>
                <w:b/>
                <w:bCs/>
                <w:color w:val="000000" w:themeColor="text1"/>
                <w:sz w:val="20"/>
                <w:szCs w:val="20"/>
                <w:highlight w:val="white"/>
              </w:rPr>
            </w:pPr>
            <w:r>
              <w:rPr>
                <w:rFonts w:hint="eastAsia" w:ascii="宋体" w:hAnsi="宋体" w:cs="Arial"/>
                <w:color w:val="000000" w:themeColor="text1"/>
                <w:highlight w:val="white"/>
              </w:rPr>
              <w:t xml:space="preserve">有对接方案内容全面、计划科学合理得10分；有对接方案内容、计划良好的得7分；有对接方案内容、计划一般的得</w:t>
            </w:r>
            <w:r>
              <w:rPr>
                <w:rFonts w:hint="eastAsia" w:ascii="宋体" w:hAnsi="宋体" w:cs="Arial"/>
                <w:color w:val="000000" w:themeColor="text1"/>
                <w:highlight w:val="white"/>
                <w:lang w:val="en-US" w:eastAsia="zh-CN"/>
              </w:rPr>
              <w:t xml:space="preserve">4</w:t>
            </w:r>
            <w:r>
              <w:rPr>
                <w:rFonts w:hint="eastAsia" w:ascii="宋体" w:hAnsi="宋体" w:cs="Arial"/>
                <w:color w:val="000000" w:themeColor="text1"/>
                <w:highlight w:val="white"/>
              </w:rPr>
              <w:t xml:space="preserve">分；不提供不得分。</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10</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投标单位根据本项目的实际情况编制组织实施方案，方案内容包括系统设计、安装调试、系统集成、试运行、测试等方面；</w:t>
            </w:r>
            <w:r/>
          </w:p>
          <w:p>
            <w:pPr>
              <w:widowControl/>
              <w:rPr>
                <w:rFonts w:ascii="宋体" w:hAnsi="宋体" w:cs="宋体"/>
                <w:b/>
                <w:bCs/>
                <w:sz w:val="20"/>
                <w:szCs w:val="20"/>
              </w:rPr>
            </w:pPr>
            <w:r>
              <w:rPr>
                <w:rFonts w:hint="eastAsia" w:ascii="宋体" w:hAnsi="宋体" w:cs="宋体"/>
                <w:b/>
                <w:bCs/>
                <w:sz w:val="20"/>
                <w:szCs w:val="20"/>
              </w:rPr>
              <w:t xml:space="preserve">方案内容全面、计划科学合理得6分；方案内容、计划良好的得4分；方案内容、计划一般的，得2分；方案不符合项目要求或者未提供方案不得分。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6</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color w:val="000000" w:themeColor="text1"/>
                <w:sz w:val="20"/>
                <w:szCs w:val="20"/>
              </w:rPr>
            </w:pPr>
            <w:r>
              <w:rPr>
                <w:rFonts w:hint="eastAsia" w:ascii="宋体" w:hAnsi="宋体" w:cs="宋体"/>
                <w:b/>
                <w:bCs/>
                <w:color w:val="000000" w:themeColor="text1"/>
                <w:sz w:val="20"/>
                <w:szCs w:val="20"/>
              </w:rPr>
              <w:t xml:space="preserve">是</w:t>
            </w:r>
            <w:r>
              <w:rPr>
                <w:color w:val="000000" w:themeColor="text1"/>
              </w:rPr>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质量保障方案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投标单位根据本项目的实际情况编制质量保障方案，方案内容包括质量保障计划、质量保障措施等；</w:t>
            </w:r>
            <w:r/>
          </w:p>
          <w:p>
            <w:pPr>
              <w:widowControl/>
              <w:rPr>
                <w:rFonts w:ascii="宋体" w:hAnsi="宋体" w:cs="宋体"/>
                <w:b/>
                <w:bCs/>
                <w:sz w:val="20"/>
                <w:szCs w:val="20"/>
              </w:rPr>
            </w:pPr>
            <w:r>
              <w:rPr>
                <w:rFonts w:hint="eastAsia" w:ascii="宋体" w:hAnsi="宋体" w:cs="宋体"/>
                <w:b/>
                <w:bCs/>
                <w:sz w:val="20"/>
                <w:szCs w:val="20"/>
              </w:rPr>
              <w:t xml:space="preserve">方案内容全面、计划科学合理得6分；方案内容、计划良好的得4分；方案内容、计划一般的，得2分；方案不符合项目要求或者未提供方案不得分。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lang w:bidi="ar"/>
              </w:rPr>
            </w:pPr>
            <w:r>
              <w:rPr>
                <w:rFonts w:hint="eastAsia" w:ascii="宋体" w:hAnsi="宋体" w:cs="宋体"/>
                <w:b/>
                <w:bCs/>
                <w:sz w:val="20"/>
                <w:szCs w:val="20"/>
              </w:rPr>
              <w:t xml:space="preserve">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投标单位根据本项目的实际情况编制培训方案，方案内容包括培训内容、培训计划等；</w:t>
            </w:r>
            <w:r/>
          </w:p>
          <w:p>
            <w:pPr>
              <w:widowControl/>
              <w:rPr>
                <w:rFonts w:ascii="宋体" w:hAnsi="宋体" w:cs="宋体"/>
                <w:lang w:bidi="ar"/>
              </w:rPr>
            </w:pPr>
            <w:r>
              <w:rPr>
                <w:rFonts w:hint="eastAsia" w:ascii="宋体" w:hAnsi="宋体" w:cs="宋体"/>
                <w:b/>
                <w:bCs/>
                <w:sz w:val="20"/>
                <w:szCs w:val="20"/>
              </w:rPr>
              <w:t xml:space="preserve">方案内容全面、计划科学合理得6分；方案内容、计划良好的得4分；方案内容、计划一般的，得2分；方案不符合项目要求或者未提供方案不得分。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b/>
                <w:bCs/>
                <w:sz w:val="20"/>
                <w:szCs w:val="20"/>
              </w:rPr>
            </w:pPr>
            <w:r>
              <w:rPr>
                <w:rFonts w:hint="eastAsia" w:ascii="宋体" w:hAnsi="宋体" w:cs="宋体"/>
                <w:b/>
                <w:bCs/>
                <w:sz w:val="20"/>
                <w:szCs w:val="20"/>
              </w:rPr>
              <w:t xml:space="preserve">投标单位根据本项目的实际情况编制售后服务方案，方案内容包括质保期、服务内容、技术支持、售后服务策略、售后服务管理制度、服务升级等方面；</w:t>
            </w:r>
            <w:r/>
          </w:p>
          <w:p>
            <w:pPr>
              <w:jc w:val="left"/>
              <w:widowControl/>
              <w:rPr>
                <w:rFonts w:ascii="宋体" w:hAnsi="宋体" w:cs="宋体"/>
                <w:b/>
                <w:bCs/>
                <w:sz w:val="20"/>
                <w:szCs w:val="20"/>
              </w:rPr>
            </w:pPr>
            <w:r>
              <w:rPr>
                <w:rFonts w:hint="eastAsia" w:ascii="宋体" w:hAnsi="宋体" w:cs="宋体"/>
                <w:b/>
                <w:bCs/>
                <w:sz w:val="20"/>
                <w:szCs w:val="20"/>
              </w:rPr>
              <w:t xml:space="preserve">方案内容全面、计划科学合理得6分；方案内容、计划良好的得4分；方案内容、计划一般的，得2分；方案不符合项目要求或者未提供方案不得分。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商务分</w:t>
            </w:r>
            <w:r/>
          </w:p>
          <w:p>
            <w:pPr>
              <w:jc w:val="center"/>
              <w:widowControl/>
              <w:rPr>
                <w:rFonts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供应商具有自2022年1月1日以来的</w:t>
            </w:r>
            <w:r>
              <w:rPr>
                <w:rFonts w:hint="eastAsia" w:ascii="宋体" w:hAnsi="宋体" w:cs="宋体"/>
                <w:b/>
                <w:bCs/>
                <w:sz w:val="20"/>
                <w:szCs w:val="20"/>
              </w:rPr>
              <w:t xml:space="preserve">类似疫苗接种系统建设项目业绩案例，</w:t>
            </w:r>
            <w:r>
              <w:rPr>
                <w:rFonts w:hint="eastAsia" w:ascii="宋体" w:hAnsi="宋体" w:cs="宋体"/>
                <w:lang w:bidi="ar"/>
              </w:rPr>
              <w:t xml:space="preserve">每提供一个业绩得2分，最多得6分。</w:t>
            </w:r>
            <w:r/>
          </w:p>
          <w:p>
            <w:pPr>
              <w:jc w:val="left"/>
              <w:widowControl/>
              <w:rPr>
                <w:rFonts w:ascii="宋体" w:hAnsi="宋体" w:cs="宋体"/>
                <w:b/>
                <w:bCs/>
                <w:sz w:val="20"/>
                <w:szCs w:val="20"/>
              </w:rPr>
            </w:pPr>
            <w:r>
              <w:rPr>
                <w:rFonts w:hint="eastAsia" w:ascii="宋体" w:hAnsi="宋体" w:cs="宋体"/>
                <w:lang w:bidi="ar"/>
              </w:rPr>
              <w:t xml:space="preserve">（注：须提供合同或中标通知书</w:t>
            </w:r>
            <w:r>
              <w:rPr>
                <w:rFonts w:hint="eastAsia"/>
              </w:rPr>
              <w:t xml:space="preserve">扫描件</w:t>
            </w:r>
            <w:r>
              <w:rPr>
                <w:rFonts w:hint="eastAsia" w:ascii="宋体" w:hAnsi="宋体" w:cs="宋体"/>
                <w:lang w:bidi="ar"/>
              </w:rPr>
              <w:t xml:space="preserve">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b/>
                <w:bCs/>
                <w:sz w:val="20"/>
                <w:szCs w:val="20"/>
              </w:rPr>
            </w:pPr>
            <w:r>
              <w:rPr>
                <w:rFonts w:hint="eastAsia" w:ascii="宋体" w:hAnsi="宋体" w:cs="宋体"/>
                <w:lang w:bidi="ar"/>
              </w:rPr>
              <w:t xml:space="preserve">认证证书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lang w:bidi="ar"/>
              </w:rPr>
            </w:pPr>
            <w:r>
              <w:rPr>
                <w:rFonts w:hint="eastAsia" w:ascii="宋体" w:hAnsi="宋体" w:cs="宋体"/>
                <w:lang w:bidi="ar"/>
              </w:rPr>
              <w:t xml:space="preserve">1、供应商具有质量管理体系认证证书，得2分，其他不得分。</w:t>
            </w:r>
            <w:r/>
          </w:p>
          <w:p>
            <w:pPr>
              <w:widowControl/>
              <w:rPr>
                <w:rFonts w:ascii="宋体" w:hAnsi="宋体" w:cs="宋体"/>
                <w:lang w:bidi="ar"/>
              </w:rPr>
            </w:pPr>
            <w:r>
              <w:rPr>
                <w:rFonts w:hint="eastAsia" w:ascii="宋体" w:hAnsi="宋体" w:cs="宋体"/>
                <w:lang w:bidi="ar"/>
              </w:rPr>
              <w:t xml:space="preserve">2、供应商具有</w:t>
            </w:r>
            <w:r>
              <w:rPr>
                <w:rFonts w:hint="eastAsia" w:ascii="宋体" w:hAnsi="宋体" w:cs="宋体"/>
                <w:b/>
                <w:bCs/>
                <w:sz w:val="20"/>
                <w:szCs w:val="20"/>
              </w:rPr>
              <w:t xml:space="preserve">信息技术服务管理体系认证证书</w:t>
            </w:r>
            <w:r>
              <w:rPr>
                <w:rFonts w:hint="eastAsia" w:ascii="宋体" w:hAnsi="宋体" w:cs="宋体"/>
                <w:lang w:bidi="ar"/>
              </w:rPr>
              <w:t xml:space="preserve">，得2分，其他不得分。</w:t>
            </w:r>
            <w:r/>
          </w:p>
          <w:p>
            <w:pPr>
              <w:widowControl/>
              <w:rPr>
                <w:rFonts w:ascii="宋体" w:hAnsi="宋体" w:cs="宋体"/>
                <w:lang w:bidi="ar"/>
              </w:rPr>
            </w:pPr>
            <w:r>
              <w:rPr>
                <w:rFonts w:hint="eastAsia" w:ascii="宋体" w:hAnsi="宋体" w:cs="宋体"/>
                <w:lang w:bidi="ar"/>
              </w:rPr>
              <w:t xml:space="preserve">3、供应商具有</w:t>
            </w:r>
            <w:r>
              <w:rPr>
                <w:rFonts w:hint="eastAsia" w:ascii="宋体" w:hAnsi="宋体" w:cs="宋体"/>
                <w:b/>
                <w:bCs/>
                <w:sz w:val="20"/>
                <w:szCs w:val="20"/>
              </w:rPr>
              <w:t xml:space="preserve">信息安全管理体系认证证书</w:t>
            </w:r>
            <w:r>
              <w:rPr>
                <w:rFonts w:hint="eastAsia" w:ascii="宋体" w:hAnsi="宋体" w:cs="宋体"/>
                <w:lang w:bidi="ar"/>
              </w:rPr>
              <w:t xml:space="preserve">，得2分，其他不得分。</w:t>
            </w:r>
            <w:r/>
          </w:p>
          <w:p>
            <w:pPr>
              <w:widowControl/>
              <w:rPr>
                <w:rFonts w:ascii="宋体" w:hAnsi="宋体" w:cs="宋体"/>
                <w:lang w:bidi="ar"/>
              </w:rPr>
            </w:pPr>
            <w:r>
              <w:rPr>
                <w:rFonts w:hint="eastAsia" w:ascii="宋体" w:hAnsi="宋体" w:cs="宋体"/>
                <w:lang w:bidi="ar"/>
              </w:rPr>
              <w:t xml:space="preserve">（注：须提供证书</w:t>
            </w:r>
            <w:r>
              <w:rPr>
                <w:rFonts w:hint="eastAsia"/>
              </w:rPr>
              <w:t xml:space="preserve">扫描件</w:t>
            </w:r>
            <w:r>
              <w:rPr>
                <w:rFonts w:hint="eastAsia" w:ascii="宋体" w:hAnsi="宋体" w:cs="宋体"/>
                <w:lang w:bidi="ar"/>
              </w:rPr>
              <w:t xml:space="preserve">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hint="default" w:ascii="宋体" w:hAnsi="宋体" w:eastAsia="宋体" w:cs="宋体"/>
                <w:b/>
                <w:bCs/>
                <w:sz w:val="20"/>
                <w:szCs w:val="20"/>
                <w:lang w:val="en-US" w:eastAsia="zh-CN"/>
              </w:rPr>
            </w:pPr>
            <w:r>
              <w:rPr>
                <w:rFonts w:hint="eastAsia" w:ascii="宋体" w:hAnsi="宋体" w:cs="宋体"/>
                <w:b/>
                <w:bCs/>
                <w:sz w:val="20"/>
                <w:szCs w:val="20"/>
                <w:lang w:val="en-US" w:eastAsia="zh-CN"/>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lang w:bidi="ar"/>
              </w:rPr>
            </w:pPr>
            <w:r>
              <w:rPr>
                <w:rFonts w:hint="eastAsia" w:ascii="宋体" w:hAnsi="宋体" w:cs="宋体"/>
                <w:b/>
                <w:bCs/>
                <w:sz w:val="20"/>
                <w:szCs w:val="20"/>
              </w:rPr>
              <w:t xml:space="preserve">软件著作权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lang w:bidi="ar"/>
              </w:rPr>
            </w:pPr>
            <w:r>
              <w:rPr>
                <w:rFonts w:hint="eastAsia" w:ascii="宋体" w:hAnsi="宋体" w:cs="宋体"/>
                <w:lang w:bidi="ar"/>
              </w:rPr>
              <w:t xml:space="preserve">供应商提供数字化预防接种门诊候诊信息显示系统类、疫苗智能电子标签系统类软件著作权证书，每提供一份得2分，最多得6分。</w:t>
            </w:r>
            <w:r/>
          </w:p>
          <w:p>
            <w:pPr>
              <w:widowControl/>
              <w:rPr>
                <w:rFonts w:ascii="宋体" w:hAnsi="宋体" w:cs="宋体"/>
                <w:b/>
                <w:bCs/>
                <w:sz w:val="20"/>
                <w:szCs w:val="20"/>
              </w:rPr>
            </w:pPr>
            <w:r>
              <w:rPr>
                <w:rFonts w:hint="eastAsia" w:ascii="宋体" w:hAnsi="宋体" w:cs="宋体"/>
                <w:lang w:bidi="ar"/>
              </w:rPr>
              <w:t xml:space="preserve">（注：</w:t>
            </w:r>
            <w:r>
              <w:rPr>
                <w:rFonts w:hint="eastAsia" w:ascii="宋体" w:hAnsi="宋体" w:cs="宋体"/>
                <w:lang w:val="en-US" w:eastAsia="zh-CN" w:bidi="ar"/>
              </w:rPr>
              <w:t xml:space="preserve">①</w:t>
            </w:r>
            <w:r>
              <w:rPr>
                <w:rFonts w:hint="eastAsia" w:ascii="宋体" w:hAnsi="宋体" w:cs="宋体"/>
                <w:lang w:bidi="ar"/>
              </w:rPr>
              <w:t xml:space="preserve">须提供证书</w:t>
            </w:r>
            <w:r>
              <w:rPr>
                <w:rFonts w:hint="eastAsia"/>
              </w:rPr>
              <w:t xml:space="preserve">扫描件</w:t>
            </w:r>
            <w:r>
              <w:rPr>
                <w:rFonts w:hint="eastAsia" w:ascii="宋体" w:hAnsi="宋体" w:cs="宋体"/>
                <w:lang w:bidi="ar"/>
              </w:rPr>
              <w:t xml:space="preserve">加盖供应商公章</w:t>
            </w:r>
            <w:r>
              <w:rPr>
                <w:rFonts w:hint="eastAsia" w:ascii="宋体" w:hAnsi="宋体" w:cs="宋体"/>
                <w:lang w:eastAsia="zh-CN" w:bidi="ar"/>
              </w:rPr>
              <w:t xml:space="preserve">；</w:t>
            </w:r>
            <w:r>
              <w:rPr>
                <w:rFonts w:hint="eastAsia" w:ascii="宋体" w:hAnsi="宋体" w:cs="宋体"/>
                <w:lang w:val="en-US" w:eastAsia="zh-CN" w:bidi="ar"/>
              </w:rPr>
              <w:t xml:space="preserve">②</w:t>
            </w:r>
            <w:r>
              <w:rPr>
                <w:rFonts w:hint="eastAsia" w:ascii="宋体" w:hAnsi="宋体" w:cs="宋体"/>
                <w:lang w:eastAsia="zh-CN" w:bidi="ar"/>
              </w:rPr>
              <w:t xml:space="preserve">著作权名称不同的，提供功能说明，由评委判定</w:t>
            </w:r>
            <w:r>
              <w:rPr>
                <w:rFonts w:hint="eastAsia" w:ascii="宋体" w:hAnsi="宋体" w:cs="宋体"/>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hint="eastAsia" w:ascii="宋体" w:hAnsi="宋体" w:eastAsia="宋体" w:cs="宋体"/>
                <w:b/>
                <w:bCs/>
                <w:sz w:val="20"/>
                <w:szCs w:val="20"/>
                <w:lang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lang w:bidi="ar"/>
              </w:rPr>
            </w:pPr>
            <w:r>
              <w:rPr>
                <w:rFonts w:hint="eastAsia" w:ascii="宋体" w:hAnsi="宋体" w:cs="宋体"/>
                <w:lang w:bidi="ar"/>
              </w:rPr>
              <w:t xml:space="preserve">拟投入的项目经理具有国家计算机技术与软件专业技术资格(水平)中级及以上软考证书，且具有同类项目作为项目经理经验，满足得4分。</w:t>
            </w:r>
            <w:r/>
          </w:p>
          <w:p>
            <w:pPr>
              <w:widowControl/>
              <w:rPr>
                <w:rFonts w:ascii="宋体" w:hAnsi="宋体" w:cs="宋体"/>
                <w:lang w:bidi="ar"/>
              </w:rPr>
            </w:pPr>
            <w:r>
              <w:rPr>
                <w:rFonts w:hint="eastAsia" w:ascii="宋体" w:hAnsi="宋体" w:cs="宋体"/>
                <w:lang w:bidi="ar"/>
              </w:rPr>
              <w:t xml:space="preserve">注：①提供加盖</w:t>
            </w:r>
            <w:r>
              <w:rPr>
                <w:rStyle w:val="988"/>
                <w:rFonts w:hint="eastAsia"/>
              </w:rPr>
              <w:t xml:space="preserve">投标人</w:t>
            </w:r>
            <w:r>
              <w:rPr>
                <w:rFonts w:hint="eastAsia" w:ascii="宋体" w:hAnsi="宋体" w:cs="宋体"/>
                <w:lang w:bidi="ar"/>
              </w:rPr>
              <w:t xml:space="preserve">公章的有效期内证书扫描件或官方查询证明。</w:t>
            </w:r>
            <w:r/>
          </w:p>
          <w:p>
            <w:pPr>
              <w:widowControl/>
              <w:rPr>
                <w:rFonts w:ascii="宋体" w:hAnsi="宋体" w:cs="宋体"/>
                <w:lang w:bidi="ar"/>
              </w:rPr>
            </w:pPr>
            <w:r>
              <w:rPr>
                <w:rFonts w:hint="eastAsia" w:ascii="宋体" w:hAnsi="宋体" w:cs="宋体"/>
                <w:lang w:bidi="ar"/>
              </w:rPr>
              <w:t xml:space="preserve">②提供项目经理经验以业绩合同中体现为准。</w:t>
            </w:r>
            <w:r/>
          </w:p>
          <w:p>
            <w:pPr>
              <w:widowControl/>
              <w:rPr>
                <w:rFonts w:ascii="宋体" w:hAnsi="宋体" w:cs="宋体"/>
                <w:lang w:bidi="ar"/>
              </w:rPr>
            </w:pPr>
            <w:r>
              <w:rPr>
                <w:rFonts w:hint="eastAsia" w:ascii="宋体" w:hAnsi="宋体" w:cs="宋体"/>
                <w:lang w:bidi="ar"/>
              </w:rPr>
              <w:t xml:space="preserve">③提供投标人为其缴纳的近半年（响应文件提交截止时间往前推）任意一个月的社保缴纳证明材料。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hint="eastAsia" w:ascii="宋体" w:hAnsi="宋体" w:eastAsia="宋体" w:cs="宋体"/>
                <w:b/>
                <w:bCs/>
                <w:sz w:val="20"/>
                <w:szCs w:val="20"/>
                <w:lang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lang w:bidi="ar"/>
              </w:rPr>
            </w:pPr>
            <w:r>
              <w:rPr>
                <w:rFonts w:hint="eastAsia" w:ascii="宋体" w:hAnsi="宋体" w:cs="宋体"/>
                <w:b/>
                <w:bCs/>
                <w:sz w:val="20"/>
                <w:szCs w:val="20"/>
              </w:rPr>
              <w:t xml:space="preserve">团队人员（除项目经理外）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Arial"/>
                <w:b/>
                <w:color w:val="000000"/>
              </w:rPr>
            </w:pPr>
            <w:r>
              <w:rPr>
                <w:rFonts w:hint="eastAsia" w:ascii="宋体" w:hAnsi="宋体" w:cs="宋体"/>
                <w:lang w:bidi="ar"/>
              </w:rPr>
              <w:t xml:space="preserve">拟投入的</w:t>
            </w:r>
            <w:r>
              <w:rPr>
                <w:rFonts w:hint="eastAsia" w:ascii="宋体" w:hAnsi="宋体" w:cs="宋体"/>
                <w:b/>
                <w:bCs/>
                <w:sz w:val="20"/>
                <w:szCs w:val="20"/>
              </w:rPr>
              <w:t xml:space="preserve">团队人员（除项目经理外）</w:t>
            </w:r>
            <w:r>
              <w:rPr>
                <w:rFonts w:hint="eastAsia" w:ascii="宋体" w:hAnsi="宋体" w:cs="Arial"/>
                <w:b/>
                <w:color w:val="000000"/>
              </w:rPr>
              <w:t xml:space="preserve">有6人及以上得4分；有3人及以上得2分；其他不得分。</w:t>
            </w:r>
            <w:r/>
          </w:p>
          <w:p>
            <w:pPr>
              <w:widowControl/>
              <w:rPr>
                <w:rFonts w:hint="eastAsia" w:ascii="宋体" w:hAnsi="宋体" w:cs="宋体"/>
                <w:lang w:bidi="ar"/>
              </w:rPr>
            </w:pPr>
            <w:r>
              <w:rPr>
                <w:rFonts w:hint="eastAsia" w:ascii="宋体" w:hAnsi="宋体" w:cs="宋体"/>
                <w:lang w:bidi="ar"/>
              </w:rPr>
              <w:t xml:space="preserve">注：提供加盖</w:t>
            </w:r>
            <w:r>
              <w:rPr>
                <w:rStyle w:val="988"/>
                <w:rFonts w:hint="eastAsia"/>
              </w:rPr>
              <w:t xml:space="preserve">投标人</w:t>
            </w:r>
            <w:r>
              <w:rPr>
                <w:rFonts w:hint="eastAsia" w:ascii="宋体" w:hAnsi="宋体" w:cs="宋体"/>
                <w:lang w:bidi="ar"/>
              </w:rPr>
              <w:t xml:space="preserve">公章的团队人员名单。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831" w:type="dxa"/>
            <w:vAlign w:val="center"/>
            <w:textDirection w:val="lrTb"/>
            <w:noWrap w:val="false"/>
          </w:tcPr>
          <w:p>
            <w:pPr>
              <w:jc w:val="center"/>
              <w:widowControl/>
              <w:rPr>
                <w:rFonts w:hint="eastAsia" w:ascii="宋体" w:hAnsi="宋体" w:eastAsia="宋体" w:cs="宋体"/>
                <w:b/>
                <w:bCs/>
                <w:sz w:val="20"/>
                <w:szCs w:val="20"/>
                <w:lang w:eastAsia="zh-CN"/>
              </w:rPr>
            </w:pPr>
            <w:r>
              <w:rPr>
                <w:rFonts w:hint="eastAsia" w:ascii="宋体" w:hAnsi="宋体" w:cs="宋体"/>
                <w:b/>
                <w:bCs/>
                <w:sz w:val="20"/>
                <w:szCs w:val="20"/>
              </w:rPr>
              <w:t xml:space="preserve">3.</w:t>
            </w:r>
            <w:r>
              <w:rPr>
                <w:rFonts w:hint="eastAsia" w:ascii="宋体" w:hAnsi="宋体" w:cs="宋体"/>
                <w:b/>
                <w:bCs/>
                <w:sz w:val="20"/>
                <w:szCs w:val="20"/>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jc w:val="center"/>
              <w:widowControl/>
              <w:rPr>
                <w:rFonts w:ascii="宋体" w:hAnsi="宋体" w:cs="宋体"/>
                <w:lang w:bidi="ar"/>
              </w:rPr>
            </w:pPr>
            <w:r>
              <w:rPr>
                <w:rFonts w:hint="eastAsia" w:ascii="宋体" w:hAnsi="宋体" w:cs="宋体"/>
                <w:b/>
                <w:bCs/>
                <w:sz w:val="20"/>
                <w:szCs w:val="20"/>
              </w:rPr>
              <w:t xml:space="preserve">技术要求响应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widowControl/>
              <w:rPr>
                <w:rFonts w:ascii="宋体" w:hAnsi="宋体" w:cs="宋体"/>
              </w:rPr>
            </w:pPr>
            <w:r>
              <w:rPr>
                <w:rFonts w:ascii="宋体" w:hAnsi="宋体" w:cs="Arial"/>
                <w:color w:val="000000"/>
              </w:rPr>
              <w:t xml:space="preserve">所</w:t>
            </w:r>
            <w:r>
              <w:rPr>
                <w:rFonts w:ascii="宋体" w:hAnsi="宋体" w:cs="Arial"/>
                <w:b/>
                <w:color w:val="000000"/>
              </w:rPr>
              <w:t xml:space="preserve">投产品完全满足技术要求得满分</w:t>
            </w:r>
            <w:r>
              <w:rPr>
                <w:rFonts w:hint="eastAsia" w:ascii="宋体" w:hAnsi="宋体" w:cs="Arial"/>
                <w:b/>
                <w:color w:val="000000"/>
              </w:rPr>
              <w:t xml:space="preserve">30</w:t>
            </w:r>
            <w:r>
              <w:rPr>
                <w:rFonts w:ascii="宋体" w:hAnsi="宋体" w:cs="Arial"/>
                <w:b/>
                <w:color w:val="000000"/>
              </w:rPr>
              <w:t xml:space="preserve">分。其中</w:t>
            </w:r>
            <w:r>
              <w:rPr>
                <w:rFonts w:hint="eastAsia" w:ascii="宋体" w:hAnsi="宋体" w:cs="宋体"/>
                <w:color w:val="ee0000"/>
                <w:sz w:val="24"/>
                <w:szCs w:val="24"/>
              </w:rPr>
              <w:t xml:space="preserve">▲</w:t>
            </w:r>
            <w:r>
              <w:rPr>
                <w:rFonts w:ascii="宋体" w:hAnsi="宋体" w:cs="Arial"/>
                <w:b/>
                <w:color w:val="000000"/>
              </w:rPr>
              <w:t xml:space="preserve">号参数为</w:t>
            </w:r>
            <w:r>
              <w:rPr>
                <w:rFonts w:hint="eastAsia" w:ascii="宋体" w:hAnsi="宋体" w:cs="Arial"/>
                <w:b/>
                <w:color w:val="000000"/>
              </w:rPr>
              <w:t xml:space="preserve">关键性技术指标</w:t>
            </w:r>
            <w:r>
              <w:rPr>
                <w:rFonts w:ascii="宋体" w:hAnsi="宋体" w:cs="Arial"/>
                <w:b/>
                <w:color w:val="000000"/>
              </w:rPr>
              <w:t xml:space="preserve">，</w:t>
            </w:r>
            <w:r>
              <w:rPr>
                <w:rFonts w:hint="eastAsia" w:ascii="宋体" w:hAnsi="宋体" w:cs="宋体"/>
                <w:b/>
                <w:bCs/>
                <w:sz w:val="20"/>
                <w:szCs w:val="20"/>
              </w:rPr>
              <w:t xml:space="preserve">关键技术指标需给出详细的功能建设内容描述和示意图、原型图或系统截图作为供应商后续实施能力的材料证明。关键技术指标</w:t>
            </w:r>
            <w:r>
              <w:rPr>
                <w:rFonts w:ascii="宋体" w:hAnsi="宋体" w:cs="Arial"/>
                <w:b/>
                <w:color w:val="000000"/>
              </w:rPr>
              <w:t xml:space="preserve">每有一项负偏离扣3分，其他参数每有一项负偏离扣1分，扣完为止。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8"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color w:val="000000" w:themeColor="text1"/>
                <w:sz w:val="20"/>
                <w:szCs w:val="20"/>
              </w:rPr>
              <w:t xml:space="preserve">30</w:t>
            </w:r>
            <w:r/>
          </w:p>
        </w:tc>
        <w:tc>
          <w:tcPr>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3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rPr>
              <w:t xml:space="preserve">是</w:t>
            </w:r>
            <w:r/>
          </w:p>
        </w:tc>
      </w:tr>
    </w:tbl>
    <w:p>
      <w:pPr>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rPr>
          <w:rFonts w:eastAsia="Times New Roman"/>
          <w:color w:val="000000"/>
        </w:rPr>
        <w:pBdr>
          <w:top w:val="none" w:color="000000" w:sz="0" w:space="0"/>
          <w:left w:val="none" w:color="000000" w:sz="0" w:space="0"/>
          <w:bottom w:val="none" w:color="000000" w:sz="0" w:space="0"/>
          <w:right w:val="none" w:color="000000" w:sz="0" w:space="0"/>
        </w:pBdr>
      </w:pPr>
      <w:r>
        <w:rPr>
          <w:rFonts w:eastAsia="Times New Roman"/>
          <w:color w:val="000000"/>
        </w:rPr>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left"/>
        <w:widowControl/>
        <w:rPr>
          <w:rFonts w:ascii="黑体" w:hAnsi="黑体" w:eastAsia="黑体" w:cs="黑体"/>
          <w:b/>
          <w:color w:val="000000"/>
          <w:sz w:val="44"/>
        </w:rPr>
      </w:pPr>
      <w:r>
        <w:rPr>
          <w:rFonts w:ascii="黑体" w:hAnsi="黑体" w:eastAsia="黑体" w:cs="黑体"/>
          <w:b/>
          <w:color w:val="000000"/>
          <w:sz w:val="44"/>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第六章</w:t>
      </w:r>
      <w:r>
        <w:rPr>
          <w:rFonts w:ascii="Calibri" w:hAnsi="Calibri" w:eastAsia="Calibri" w:cs="Calibri"/>
          <w:b/>
          <w:color w:val="000000"/>
          <w:sz w:val="44"/>
        </w:rPr>
        <w:t xml:space="preserve"> </w:t>
      </w:r>
      <w:r>
        <w:rPr>
          <w:rFonts w:ascii="黑体" w:hAnsi="黑体" w:eastAsia="黑体" w:cs="黑体"/>
          <w:b/>
          <w:color w:val="000000"/>
          <w:sz w:val="44"/>
        </w:rPr>
        <w:t xml:space="preserve"> 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   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投标文件主要格式目录</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一、投标人资格声明函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二、特定资格要求的证明文件（如果本项目设置特定资格要求，则需要提供）</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三、法人授权书</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四、投标函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五、中小企业声明函</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六、残疾人福利性单位声明函或监狱企业证明</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七、联合体协议</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八、投标分项报价表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九、技术要求响应及偏离表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十、商务要求响应及偏离表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i/>
          <w:color w:val="000000"/>
          <w:sz w:val="24"/>
          <w:u w:val="single"/>
        </w:rPr>
        <w:t xml:space="preserve">十一、开标一览表</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一、投标人资格声明函</w:t>
      </w:r>
      <w:r/>
    </w:p>
    <w:p>
      <w:pPr>
        <w:jc w:val="center"/>
        <w:spacing w:before="156"/>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jc w:val="center"/>
        <w:spacing w:before="156"/>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投标人资格声明函</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致：常州市政府采购中心</w:t>
      </w:r>
      <w:r/>
    </w:p>
    <w:p>
      <w:pPr>
        <w:ind w:firstLine="84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（采购人名称）</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按照《中华人民共和国政府采购法》第二十二条和招标文件的规定，我单位郑重声明如下：</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一、我单位是按照中华人民共和国法律规定登记注册的，注册地点为</w:t>
      </w:r>
      <w:r>
        <w:rPr>
          <w:rFonts w:eastAsia="Times New Roman"/>
          <w:color w:val="000000"/>
          <w:u w:val="single"/>
        </w:rPr>
        <w:t xml:space="preserve">        </w:t>
      </w:r>
      <w:r>
        <w:rPr>
          <w:rFonts w:ascii="宋体" w:hAnsi="宋体" w:cs="宋体"/>
          <w:color w:val="000000"/>
        </w:rPr>
        <w:t xml:space="preserve">，全称为</w:t>
      </w:r>
      <w:r>
        <w:rPr>
          <w:rFonts w:eastAsia="Times New Roman"/>
          <w:color w:val="000000"/>
          <w:u w:val="single"/>
        </w:rPr>
        <w:t xml:space="preserve">       </w:t>
      </w:r>
      <w:r>
        <w:rPr>
          <w:rFonts w:ascii="宋体" w:hAnsi="宋体" w:cs="宋体"/>
          <w:color w:val="000000"/>
        </w:rPr>
        <w:t xml:space="preserve">，统一社会信用代码为</w:t>
      </w:r>
      <w:r>
        <w:rPr>
          <w:rFonts w:eastAsia="Times New Roman"/>
          <w:color w:val="000000"/>
          <w:u w:val="single"/>
        </w:rPr>
        <w:t xml:space="preserve">          </w:t>
      </w:r>
      <w:r>
        <w:rPr>
          <w:rFonts w:eastAsia="Times New Roman"/>
          <w:color w:val="000000"/>
        </w:rPr>
        <w:t xml:space="preserve"> </w:t>
      </w:r>
      <w:r>
        <w:rPr>
          <w:rFonts w:ascii="宋体" w:hAnsi="宋体" w:cs="宋体"/>
          <w:color w:val="000000"/>
        </w:rPr>
        <w:t xml:space="preserve">，法定代表人（单位负责人）为</w:t>
      </w:r>
      <w:r>
        <w:rPr>
          <w:rFonts w:eastAsia="Times New Roman"/>
          <w:color w:val="000000"/>
          <w:u w:val="single"/>
        </w:rPr>
        <w:t xml:space="preserve">        </w:t>
      </w:r>
      <w:r>
        <w:rPr>
          <w:rFonts w:ascii="宋体" w:hAnsi="宋体" w:cs="宋体"/>
          <w:color w:val="000000"/>
        </w:rPr>
        <w:t xml:space="preserve">，具有独立承担民事责任的能力</w:t>
      </w:r>
      <w:r>
        <w:rPr>
          <w:rFonts w:ascii="宋体" w:hAnsi="宋体" w:cs="宋体"/>
          <w:b/>
          <w:i/>
          <w:color w:val="000000"/>
          <w:u w:val="single"/>
        </w:rPr>
        <w:t xml:space="preserve">（如属于分公司经总公司授权参与项目，由总公司承担民事责任的，需提供总公司项目授权书）</w:t>
      </w:r>
      <w:r>
        <w:rPr>
          <w:rFonts w:ascii="宋体" w:hAnsi="宋体" w:cs="宋体"/>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二、我单位具有良好的商业信誉（指投标人经营状况良好，无本资格声明第十条情形）和健全的财务会计制度。</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三、我单位依法进行纳税和社会保险申报并实际履行了义务。</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四、我单位具有履行本项目采购合同所必需的设备和专业技术能力，并具有履行合同的良好记录。为履行本项采购合同我单位具备如下主要设备和主要专业技术能力</w:t>
      </w:r>
      <w:r>
        <w:rPr>
          <w:rFonts w:eastAsia="Times New Roman"/>
          <w:color w:val="000000"/>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主要设备有：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主要专业技术能力有</w:t>
      </w:r>
      <w:r>
        <w:rPr>
          <w:rFonts w:eastAsia="Times New Roman"/>
          <w:color w:val="000000"/>
          <w:u w:val="single"/>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eastAsia="Times New Roman"/>
          <w:color w:val="000000"/>
        </w:rPr>
        <w:t xml:space="preserve">3</w:t>
      </w:r>
      <w:r>
        <w:rPr>
          <w:rFonts w:ascii="宋体" w:hAnsi="宋体" w:cs="宋体"/>
          <w:color w:val="000000"/>
        </w:rPr>
        <w:t xml:space="preserve">年内因违法经营被禁止在一定期限内参加政府采购活动，期限届满的，可以参加政府采购活动。）</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六、我单位具备法律、行政法规规定的其他条件。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七、与我单位存在“单位负责人为同一人或者存在直接控股、管理关系”的其他单位信息如下（如无此情形的，填写“无”）：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、与我单位的法定代表人（单位负责人）为同一人的其他单位如下：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、我单位直接控股的其他单位如下：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、与我单位存在管理关系的其他单位如下：</w:t>
      </w:r>
      <w:r>
        <w:rPr>
          <w:rFonts w:eastAsia="Times New Roman"/>
          <w:color w:val="000000"/>
          <w:u w:val="single"/>
        </w:rPr>
        <w:t xml:space="preserve">             </w:t>
      </w: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八、我单位不属于为本项目提供整体设计、规范编制或者项目管理、监理、检测等服务的投标人。</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九、我单位无以下不良信用记录情形：</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ascii="宋体" w:hAnsi="宋体" w:cs="宋体"/>
          <w:color w:val="000000"/>
        </w:rPr>
        <w:t xml:space="preserve">、在“信用中国”网站被列入失信被执行人和重大税收违法案件当事人名单；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2</w:t>
      </w:r>
      <w:r>
        <w:rPr>
          <w:rFonts w:ascii="宋体" w:hAnsi="宋体" w:cs="宋体"/>
          <w:color w:val="000000"/>
        </w:rPr>
        <w:t xml:space="preserve">、在“中国政府采购网”网站被列入政府采购严重违法失信行为记录名单；</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3</w:t>
      </w:r>
      <w:r>
        <w:rPr>
          <w:rFonts w:ascii="宋体" w:hAnsi="宋体" w:cs="宋体"/>
          <w:color w:val="000000"/>
        </w:rPr>
        <w:t xml:space="preserve">、不符合《政府采购法》第二十二条规定的条件。</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我单位保证上述声明的事项都是真实的，如有虚假，我单位愿意承担相应的法律责任，并承担因此所造成的一切损失。</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投标人：（加盖公章）</w:t>
      </w:r>
      <w:r/>
    </w:p>
    <w:p>
      <w:pPr>
        <w:ind w:firstLine="480"/>
        <w:spacing w:line="46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rPr>
          <w:rFonts w:ascii="宋体" w:hAnsi="宋体" w:cs="宋体"/>
          <w:color w:val="000000"/>
        </w:rPr>
        <w:t xml:space="preserve">法定代表人（或单位负责人）签字或盖章：</w:t>
      </w:r>
      <w:r/>
    </w:p>
    <w:p>
      <w:pPr>
        <w:ind w:firstLine="430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eastAsia="Times New Roman"/>
          <w:color w:val="000000"/>
        </w:rPr>
        <w:t xml:space="preserve">   </w:t>
      </w:r>
      <w:r>
        <w:rPr>
          <w:rFonts w:ascii="宋体" w:hAnsi="宋体" w:cs="宋体"/>
          <w:color w:val="000000"/>
        </w:rPr>
        <w:t xml:space="preserve">年月日</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说明：投标人承诺不实的，依据《政府采购法》第七十七条“提供虚假材料谋取中标、成交的”有关规定予以处理。</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二、特定资格要求的证明文件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如果本项目申请人的特定资格要求中要求提供的，必须提供。</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i/>
          <w:color w:val="000000"/>
          <w:sz w:val="32"/>
          <w:u w:val="single"/>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三、法人授权书</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w:t>
      </w:r>
      <w:r>
        <w:rPr>
          <w:rFonts w:eastAsia="Times New Roman"/>
          <w:color w:val="000000"/>
          <w:sz w:val="24"/>
        </w:rPr>
        <w:t xml:space="preserve">____________</w:t>
      </w:r>
      <w:r>
        <w:rPr>
          <w:rFonts w:ascii="宋体" w:hAnsi="宋体" w:cs="宋体"/>
          <w:color w:val="000000"/>
          <w:sz w:val="24"/>
        </w:rPr>
        <w:t xml:space="preserve">（投标人名称）授权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rPr>
        <w:t xml:space="preserve">JSZC-</w:t>
      </w:r>
      <w:r>
        <w:rPr>
          <w:rFonts w:eastAsia="Times New Roman"/>
          <w:color w:val="000000"/>
          <w:sz w:val="24"/>
          <w:u w:val="single"/>
        </w:rPr>
        <w:t xml:space="preserve">       </w:t>
      </w:r>
      <w:r>
        <w:rPr>
          <w:rFonts w:ascii="宋体" w:hAnsi="宋体" w:cs="宋体"/>
          <w:color w:val="000000"/>
          <w:sz w:val="24"/>
        </w:rPr>
        <w:t xml:space="preserve">号项目采购活动的合法代理人，以本单位名义全权处理一切与该项目采购有关的事务。</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w:t>
      </w:r>
      <w:r>
        <w:rPr>
          <w:rFonts w:eastAsia="Times New Roman"/>
          <w:color w:val="000000"/>
          <w:sz w:val="24"/>
        </w:rPr>
        <w:t xml:space="preserve">______</w:t>
      </w:r>
      <w:r>
        <w:rPr>
          <w:rFonts w:ascii="宋体" w:hAnsi="宋体" w:cs="宋体"/>
          <w:color w:val="000000"/>
          <w:sz w:val="24"/>
        </w:rPr>
        <w:t xml:space="preserve">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被授权人身份证号码：</w:t>
      </w:r>
      <w:r>
        <w:rPr>
          <w:rFonts w:eastAsia="Times New Roman"/>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被授权人联系电话：（手机）</w:t>
      </w:r>
      <w:r>
        <w:rPr>
          <w:rFonts w:eastAsia="Times New Roman"/>
          <w:color w:val="000000"/>
          <w:sz w:val="24"/>
          <w:u w:val="single"/>
        </w:rPr>
        <w:t xml:space="preserve">                         </w:t>
      </w:r>
      <w:r/>
    </w:p>
    <w:p>
      <w:pPr>
        <w:ind w:firstLine="12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w:t>
      </w:r>
      <w:r>
        <w:rPr>
          <w:rFonts w:eastAsia="Times New Roman"/>
          <w:color w:val="000000"/>
          <w:sz w:val="24"/>
          <w:u w:val="single"/>
        </w:rPr>
        <w:t xml:space="preserve">CA</w:t>
      </w:r>
      <w:r>
        <w:rPr>
          <w:rFonts w:ascii="宋体" w:hAnsi="宋体" w:cs="宋体"/>
          <w:color w:val="000000"/>
          <w:sz w:val="24"/>
          <w:u w:val="single"/>
        </w:rPr>
        <w:t xml:space="preserve">电子公章）</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单位地址：</w:t>
      </w:r>
      <w:r>
        <w:rPr>
          <w:rFonts w:eastAsia="Times New Roman"/>
          <w:color w:val="000000"/>
          <w:sz w:val="24"/>
          <w:u w:val="single"/>
        </w:rPr>
        <w:t xml:space="preserve">                                        </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cs="宋体"/>
          <w:color w:val="000000"/>
          <w:sz w:val="24"/>
        </w:rPr>
        <w:t xml:space="preserve">日期：</w:t>
      </w:r>
      <w:r>
        <w:rPr>
          <w:rFonts w:eastAsia="Times New Roman"/>
          <w:color w:val="000000"/>
          <w:sz w:val="24"/>
          <w:u w:val="single"/>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i/>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rPr>
        <w:pBdr>
          <w:top w:val="none" w:color="000000" w:sz="0" w:space="0"/>
          <w:left w:val="none" w:color="000000" w:sz="0" w:space="0"/>
          <w:bottom w:val="none" w:color="000000" w:sz="0" w:space="0"/>
          <w:right w:val="none" w:color="000000" w:sz="0" w:space="0"/>
        </w:pBdr>
      </w:pPr>
      <w:r>
        <w:br w:type="page" w:clear="all"/>
      </w:r>
      <w:r/>
    </w:p>
    <w:p>
      <w:pPr>
        <w:ind w:firstLine="3390"/>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四、投标函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致：常州市政府采购中心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根据贵方的JSZC-***号招标文件，正式授权下述</w:t>
      </w:r>
      <w:r>
        <w:rPr>
          <w:rFonts w:hint="eastAsia" w:ascii="宋体" w:hAnsi="宋体" w:cs="宋体"/>
          <w:color w:val="000000"/>
          <w:sz w:val="24"/>
          <w:lang w:val="en-US" w:eastAsia="zh-CN"/>
        </w:rPr>
        <w:t xml:space="preserve">被授权</w:t>
      </w:r>
      <w:r>
        <w:rPr>
          <w:rFonts w:ascii="宋体" w:hAnsi="宋体" w:cs="宋体"/>
          <w:color w:val="000000"/>
          <w:sz w:val="24"/>
        </w:rPr>
        <w:t xml:space="preserve">人______(姓名)代表我方______________（投标人的名称），全权处理本次项目投标的有关事宜。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w:t>
      </w:r>
      <w:r>
        <w:rPr>
          <w:rFonts w:hint="eastAsia" w:ascii="宋体" w:hAnsi="宋体" w:cs="宋体"/>
          <w:color w:val="000000"/>
          <w:sz w:val="24"/>
          <w:lang w:val="en-US" w:eastAsia="zh-CN"/>
        </w:rPr>
        <w:t xml:space="preserve">被授权</w:t>
      </w:r>
      <w:bookmarkStart w:id="0" w:name="_GoBack"/>
      <w:r/>
      <w:bookmarkEnd w:id="0"/>
      <w:r>
        <w:rPr>
          <w:rFonts w:ascii="宋体" w:hAnsi="宋体" w:cs="宋体"/>
          <w:color w:val="000000"/>
          <w:sz w:val="24"/>
        </w:rPr>
        <w:t xml:space="preserve">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1.按招标文件规定的各项要求，向买方提供所需服务（包含与服务相关的货物）。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         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         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         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期：________年____月____日</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五、中小企业声明函（服务）（分包号：**）</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本公司（联合体）郑重声明，根据《政府采购促进中小企业发展管理办法》(财库[2020]46号)的规定，本公司（联合体）参加常州市政府采购中心组织的</w:t>
      </w:r>
      <w:r>
        <w:rPr>
          <w:rFonts w:ascii="宋体" w:hAnsi="宋体" w:cs="宋体"/>
          <w:color w:val="000000"/>
          <w:sz w:val="24"/>
          <w:u w:val="single"/>
        </w:rPr>
        <w:t xml:space="preserve">（采购单位名称）</w:t>
      </w:r>
      <w:r>
        <w:rPr>
          <w:rFonts w:ascii="宋体" w:hAnsi="宋体" w:cs="宋体"/>
          <w:color w:val="000000"/>
          <w:sz w:val="24"/>
        </w:rPr>
        <w:t xml:space="preserve">采购编号为</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（项目名称）（分包号：**）</w:t>
      </w:r>
      <w:r>
        <w:rPr>
          <w:rFonts w:ascii="宋体" w:hAnsi="宋体" w:cs="宋体"/>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软件和信息技术服务业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000000"/>
          <w:sz w:val="24"/>
          <w:u w:val="single"/>
        </w:rPr>
        <w:t xml:space="preserve">      </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0"/>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（中型企业、小型企业、微型企业）；</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80" w:firstLine="360"/>
        <w:jc w:val="right"/>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备注2：供应商未提供此声明函的，资格审查不予通过，作为无效投标。此声明函将随中标结果同时公告，接受社会监督。</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六、残疾人福利性单位声明函（分包号：**）</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 xml:space="preserve">项目（分包号：**）采购活动由本单位提供服务。</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58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（备注：如是残疾人福利单位的应提供，否则资格审查不予通过，作为无效投标。此声明函将随中标结果同时公告，接受社会监督）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ind w:right="1560" w:firstLine="624"/>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rPr>
          <w:rFonts w:ascii="仿宋" w:hAnsi="仿宋" w:eastAsia="仿宋" w:cs="仿宋"/>
          <w:color w:val="000000"/>
          <w:sz w:val="30"/>
        </w:rPr>
        <w:t xml:space="preserve"> </w:t>
      </w:r>
      <w:r>
        <w:rPr>
          <w:rFonts w:ascii="宋体" w:hAnsi="宋体" w:cs="宋体"/>
          <w:color w:val="000000"/>
          <w:sz w:val="24"/>
        </w:rPr>
        <w:t xml:space="preserve">          供应商全称（加盖CA电子公章）：</w:t>
      </w:r>
      <w:r/>
    </w:p>
    <w:p>
      <w:pPr>
        <w:ind w:right="1560" w:firstLine="480"/>
        <w:jc w:val="center"/>
        <w:spacing w:line="587" w:lineRule="atLeast"/>
        <w:tabs>
          <w:tab w:val="left" w:pos="4860"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 期：</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ind w:firstLine="643"/>
        <w:spacing w:line="587"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监狱企业证明文件</w:t>
      </w:r>
      <w:r>
        <w:rPr>
          <w:rFonts w:ascii="黑体" w:hAnsi="黑体" w:eastAsia="黑体" w:cs="黑体"/>
          <w:b/>
          <w:color w:val="000000"/>
          <w:sz w:val="32"/>
        </w:rPr>
        <w:t xml:space="preserve">。</w:t>
      </w:r>
      <w:r>
        <w:rPr>
          <w:rFonts w:ascii="宋体" w:hAnsi="宋体" w:cs="宋体"/>
          <w:color w:val="000000"/>
          <w:sz w:val="24"/>
        </w:rPr>
        <w:t xml:space="preserve">监狱企业须提供由省级以上监狱管理局、戒毒管理局（含新疆生产建设兵团）出具的属于监狱企业的证明文件。（备注：如是监狱企业的应提供，否则资格审查不予通过，作为无效投标。）</w:t>
      </w:r>
      <w:r/>
    </w:p>
    <w:p>
      <w:pPr>
        <w:ind w:firstLine="630"/>
        <w:spacing w:line="460"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七、联合体协议（参考格式）（分包号：**）</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自愿组成联合体，参加常州市政府采购中心组织的采购编号为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项目（分包号：**）的政府采购活动，我联合体指定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jc w:val="right"/>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八、投标分项报价表（分包号：**）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w:t>
      </w:r>
      <w:r/>
    </w:p>
    <w:tbl>
      <w:tblPr>
        <w:tblStyle w:val="765"/>
        <w:tblW w:w="724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282"/>
        <w:gridCol w:w="1483"/>
        <w:gridCol w:w="759"/>
        <w:gridCol w:w="648"/>
        <w:gridCol w:w="811"/>
        <w:gridCol w:w="1424"/>
      </w:tblGrid>
      <w:tr>
        <w:trPr>
          <w:trHeight w:val="6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3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服务期限或者交付期：</w:t>
      </w:r>
      <w:r>
        <w:rPr>
          <w:rFonts w:ascii="宋体" w:hAnsi="宋体" w:cs="宋体"/>
          <w:color w:val="000000"/>
          <w:sz w:val="24"/>
          <w:u w:val="single"/>
        </w:rPr>
        <w:t xml:space="preserve">                     </w:t>
      </w:r>
      <w:r/>
    </w:p>
    <w:p>
      <w:pPr>
        <w:jc w:val="left"/>
        <w:rPr>
          <w:rFonts w:hint="eastAsia"/>
        </w:rPr>
        <w:pBdr>
          <w:top w:val="none" w:color="000000" w:sz="0" w:space="0"/>
          <w:left w:val="none" w:color="000000" w:sz="0" w:space="0"/>
          <w:bottom w:val="none" w:color="000000" w:sz="0" w:space="0"/>
          <w:right w:val="none" w:color="000000" w:sz="0" w:space="0"/>
        </w:pBdr>
      </w:pPr>
      <w:r>
        <w:rPr>
          <w:rFonts w:hint="eastAsia"/>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left"/>
        <w:widowControl/>
        <w:rPr>
          <w:rFonts w:ascii="黑体" w:hAnsi="黑体" w:eastAsia="黑体" w:cs="黑体"/>
          <w:b/>
          <w:color w:val="000000"/>
          <w:sz w:val="32"/>
        </w:rPr>
      </w:pPr>
      <w:r>
        <w:rPr>
          <w:rFonts w:ascii="黑体" w:hAnsi="黑体" w:eastAsia="黑体" w:cs="黑体"/>
          <w:b/>
          <w:color w:val="000000"/>
          <w:sz w:val="32"/>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九、技术要求响应及偏离表（分包号：**）</w:t>
      </w:r>
      <w:r/>
    </w:p>
    <w:tbl>
      <w:tblPr>
        <w:tblStyle w:val="76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对本项目技术要求条款的偏离情况（请进行勾选）：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6"/>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rPr>
          <w:rFonts w:ascii="Calibri" w:hAnsi="Calibri" w:eastAsia="Calibri" w:cs="Calibri"/>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十、商务要求响应及偏离表（分包号：**）</w:t>
      </w:r>
      <w:r/>
    </w:p>
    <w:tbl>
      <w:tblPr>
        <w:tblStyle w:val="765"/>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768"/>
        <w:gridCol w:w="2394"/>
        <w:gridCol w:w="1104"/>
        <w:gridCol w:w="2621"/>
      </w:tblGrid>
      <w:tr>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对本项目商务要求条款的偏离情况（请进行勾选）：</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无偏离</w:t>
            </w:r>
            <w:r>
              <w:rPr>
                <w:rFonts w:ascii="宋体" w:hAnsi="宋体" w:cs="宋体"/>
                <w:color w:val="000000"/>
                <w:sz w:val="24"/>
              </w:rPr>
              <w:t xml:space="preserve">（如无偏离，仅勾选无偏离即可）</w:t>
            </w:r>
            <w:r/>
          </w:p>
          <w:p>
            <w:pPr>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w:t>
            </w:r>
            <w:r>
              <w:rPr>
                <w:rFonts w:ascii="宋体" w:hAnsi="宋体" w:cs="宋体"/>
                <w:b/>
                <w:color w:val="000000"/>
                <w:sz w:val="24"/>
              </w:rPr>
              <w:t xml:space="preserve">有偏离</w:t>
            </w:r>
            <w:r>
              <w:rPr>
                <w:rFonts w:ascii="宋体" w:hAnsi="宋体" w:cs="宋体"/>
                <w:color w:val="000000"/>
                <w:sz w:val="24"/>
              </w:rPr>
              <w:t xml:space="preserve">（如有超出或者偏离，则须在本表中对超出或者偏离项逐一列明）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或偏离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证明</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2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 行数不够，可自行添加。</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rPr>
          <w:rFonts w:ascii="Calibri" w:hAnsi="Calibri" w:eastAsia="Calibri" w:cs="Calibri"/>
          <w:b/>
          <w:color w:val="000000"/>
          <w:sz w:val="3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32"/>
        </w:rPr>
        <w:t xml:space="preserve"> </w:t>
      </w:r>
      <w:r/>
    </w:p>
    <w:p>
      <w:pPr>
        <w:numPr>
          <w:ilvl w:val="0"/>
          <w:numId w:val="6"/>
        </w:numPr>
        <w:rPr>
          <w:rFonts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开标一览表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招标编号：                                  分包号：</w:t>
      </w:r>
      <w:r/>
    </w:p>
    <w:tbl>
      <w:tblPr>
        <w:tblStyle w:val="765"/>
        <w:tblW w:w="82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  </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left"/>
        <w:widowControl/>
        <w:rPr>
          <w:rFonts w:ascii="黑体" w:hAnsi="黑体" w:eastAsia="黑体" w:cs="黑体"/>
          <w:b/>
          <w:color w:val="000000"/>
          <w:sz w:val="32"/>
        </w:rPr>
      </w:pPr>
      <w:r>
        <w:rPr>
          <w:rFonts w:ascii="黑体" w:hAnsi="黑体" w:eastAsia="黑体" w:cs="黑体"/>
          <w:b/>
          <w:color w:val="000000"/>
          <w:sz w:val="32"/>
        </w:rPr>
        <w:br w:type="page" w:clear="all"/>
      </w:r>
      <w:r/>
    </w:p>
    <w:p>
      <w:pPr>
        <w:spacing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cs="宋体"/>
          <w:b/>
          <w:color w:val="000000"/>
          <w:sz w:val="24"/>
        </w:rPr>
        <w:t xml:space="preserve">（本表为通用格式，项目采购文件可能会根据实际情况对栏目作出调整，按照制作工具显示的栏目编制）</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765"/>
        <w:tblW w:w="87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946"/>
        <w:gridCol w:w="492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《开标一览表（响应一览表）》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《技术要求响应及偏离表》</w:t>
            </w:r>
            <w:r>
              <w:rPr>
                <w:rFonts w:ascii="宋体" w:hAnsi="宋体" w:cs="宋体"/>
                <w:color w:val="000000"/>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按照招标（采购）文件的规定格式提供</w:t>
            </w:r>
            <w:r>
              <w:rPr>
                <w:rFonts w:ascii="宋体" w:hAnsi="宋体" w:cs="宋体"/>
                <w:b/>
                <w:color w:val="000000"/>
              </w:rPr>
              <w:t xml:space="preserve">《商务要求响应及偏离表》</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《投标人（供应商）资格声明函》</w:t>
            </w:r>
            <w:r>
              <w:rPr>
                <w:rFonts w:ascii="宋体" w:hAnsi="宋体" w:cs="宋体"/>
                <w:color w:val="000000"/>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提供符合招标（采购）文件要求的</w:t>
            </w:r>
            <w:r>
              <w:rPr>
                <w:rFonts w:ascii="宋体" w:hAnsi="宋体" w:cs="宋体"/>
                <w:b/>
                <w:color w:val="000000"/>
              </w:rPr>
              <w:t xml:space="preserve">《中小企业声明函》或者《残疾人福利性单位声明函》或者监狱企业证明文件</w:t>
            </w:r>
            <w:r>
              <w:rPr>
                <w:rFonts w:ascii="宋体" w:hAnsi="宋体" w:cs="宋体"/>
                <w:color w:val="000000"/>
              </w:rPr>
              <w:t xml:space="preserve">。(格式见《投标（响应）文件格式》)</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如是接受联合体投标（响应），且投标人（供应商）组成联合体投标（响应）的必须提供</w:t>
            </w:r>
            <w:r>
              <w:rPr>
                <w:rFonts w:ascii="宋体" w:hAnsi="宋体" w:cs="宋体"/>
                <w:b/>
                <w:color w:val="000000"/>
              </w:rPr>
              <w:t xml:space="preserve">《联合体协议》</w:t>
            </w:r>
            <w:r>
              <w:rPr>
                <w:rFonts w:ascii="宋体" w:hAnsi="宋体" w:cs="宋体"/>
                <w:color w:val="000000"/>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按招标（采购）文件要求提供</w:t>
            </w:r>
            <w:r>
              <w:rPr>
                <w:rFonts w:ascii="宋体" w:hAnsi="宋体" w:cs="宋体"/>
                <w:b/>
                <w:color w:val="000000"/>
              </w:rPr>
              <w:t xml:space="preserve">《法人授权书》</w:t>
            </w:r>
            <w:r>
              <w:rPr>
                <w:rFonts w:ascii="宋体" w:hAnsi="宋体" w:cs="宋体"/>
                <w:color w:val="000000"/>
              </w:rPr>
              <w:t xml:space="preserve">、</w:t>
            </w:r>
            <w:r>
              <w:rPr>
                <w:rFonts w:ascii="宋体" w:hAnsi="宋体" w:cs="宋体"/>
                <w:b/>
                <w:color w:val="000000"/>
              </w:rPr>
              <w:t xml:space="preserve">《投标（响应）函》</w:t>
            </w:r>
            <w:r>
              <w:rPr>
                <w:rFonts w:ascii="宋体" w:hAnsi="宋体" w:cs="宋体"/>
                <w:color w:val="000000"/>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投标（响应）文件未出现可选择性或可调整的报价（招标（采购）文件另有规定的除外）；提供</w:t>
            </w:r>
            <w:r>
              <w:rPr>
                <w:rFonts w:ascii="宋体" w:hAnsi="宋体" w:cs="宋体"/>
                <w:b/>
                <w:color w:val="000000"/>
              </w:rPr>
              <w:t xml:space="preserve">《分项报价表》</w:t>
            </w:r>
            <w:r>
              <w:rPr>
                <w:rFonts w:ascii="宋体" w:hAnsi="宋体" w:cs="宋体"/>
                <w:color w:val="000000"/>
              </w:rPr>
              <w:t xml:space="preserve">。(格式见《投标（响应）文件格式》)</w:t>
            </w:r>
            <w:r/>
          </w:p>
        </w:tc>
      </w:tr>
      <w:tr>
        <w:trPr>
          <w:trHeight w:val="1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报价合理性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由评委审查，报价合理的予以通过。根据苏财购〔2025〕62号文件规定，评审中出现下列情形之一的，评标委员会（评审小组）应当启动异常低价投标（响应）审查程序：1）投标（响应）报价低于采购项目预算 50% 的，即投标（响应）报价&lt;采购项目预算×50%；2）投标（响应）报价低于采购项目最高限价 45%的，即投标（响应）报价&lt;采购项目最高限价×45%；3）评标委员会（评审小组）认定的供应商报价过低、有可能影响产品质量或者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逐项提供相关证明材料</w:t>
            </w:r>
            <w:r/>
          </w:p>
        </w:tc>
      </w:tr>
    </w:tbl>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29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 </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3.质疑供应商若对项目的某一分包进行质疑，质疑函中应列明具体分包号。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等线" w:hAnsi="等线" w:eastAsia="等线" w:cs="等线"/>
          <w:color w:val="000000"/>
        </w:rPr>
        <w:t xml:space="preserve"> </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9</w:t>
    </w:r>
    <w:r>
      <w:rPr>
        <w:rFonts w:ascii="宋体" w:hAnsi="宋体"/>
      </w:rPr>
      <w:fldChar w:fldCharType="end"/>
    </w:r>
    <w:r/>
  </w:p>
  <w:p>
    <w:pPr>
      <w:pStyle w:val="96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0"/>
    <w:uiPriority w:val="10"/>
    <w:rPr>
      <w:sz w:val="48"/>
      <w:szCs w:val="48"/>
    </w:rPr>
  </w:style>
  <w:style w:type="character" w:styleId="702">
    <w:name w:val="Subtitle Char"/>
    <w:basedOn w:val="739"/>
    <w:link w:val="754"/>
    <w:uiPriority w:val="11"/>
    <w:rPr>
      <w:sz w:val="24"/>
      <w:szCs w:val="24"/>
    </w:rPr>
  </w:style>
  <w:style w:type="character" w:styleId="703">
    <w:name w:val="Quote Char"/>
    <w:link w:val="779"/>
    <w:uiPriority w:val="29"/>
    <w:rPr>
      <w:i/>
    </w:rPr>
  </w:style>
  <w:style w:type="character" w:styleId="704">
    <w:name w:val="Intense Quote Char"/>
    <w:link w:val="781"/>
    <w:uiPriority w:val="30"/>
    <w:rPr>
      <w:i/>
    </w:rPr>
  </w:style>
  <w:style w:type="character" w:styleId="705">
    <w:name w:val="Header Char"/>
    <w:basedOn w:val="739"/>
    <w:link w:val="751"/>
    <w:uiPriority w:val="99"/>
  </w:style>
  <w:style w:type="character" w:styleId="706">
    <w:name w:val="Caption Char"/>
    <w:basedOn w:val="744"/>
    <w:link w:val="750"/>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5"/>
    <w:uiPriority w:val="99"/>
    <w:rPr>
      <w:sz w:val="18"/>
    </w:rPr>
  </w:style>
  <w:style w:type="character" w:styleId="727">
    <w:name w:val="Endnote Text Char"/>
    <w:link w:val="748"/>
    <w:uiPriority w:val="99"/>
    <w:rPr>
      <w:sz w:val="20"/>
    </w:rPr>
  </w:style>
  <w:style w:type="paragraph" w:styleId="728">
    <w:name w:val="TOC Heading"/>
    <w:uiPriority w:val="39"/>
    <w:unhideWhenUsed/>
  </w:style>
  <w:style w:type="paragraph" w:styleId="72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0">
    <w:name w:val="Heading 1"/>
    <w:basedOn w:val="729"/>
    <w:next w:val="729"/>
    <w:link w:val="766"/>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7"/>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8"/>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9"/>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0"/>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1"/>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3"/>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4"/>
    <w:uiPriority w:val="9"/>
    <w:unhideWhenUsed/>
    <w:qFormat/>
    <w:pPr>
      <w:keepLines/>
      <w:keepNext/>
      <w:spacing w:before="320" w:after="200"/>
      <w:outlineLvl w:val="8"/>
    </w:pPr>
    <w:rPr>
      <w:rFonts w:ascii="Arial" w:hAnsi="Arial" w:eastAsia="Arial" w:cs="Arial"/>
      <w:i/>
      <w:iCs/>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Layout w:type="fixed"/>
      <w:tblCellMar>
        <w:left w:w="108" w:type="dxa"/>
        <w:top w:w="0" w:type="dxa"/>
        <w:right w:w="108" w:type="dxa"/>
        <w:bottom w:w="0" w:type="dxa"/>
      </w:tblCellMar>
    </w:tblPr>
  </w:style>
  <w:style w:type="paragraph" w:styleId="741">
    <w:name w:val="annotation subject"/>
    <w:basedOn w:val="742"/>
    <w:next w:val="742"/>
    <w:link w:val="1027"/>
    <w:uiPriority w:val="99"/>
    <w:semiHidden/>
    <w:unhideWhenUsed/>
    <w:qFormat/>
    <w:rPr>
      <w:b/>
      <w:bCs/>
    </w:rPr>
  </w:style>
  <w:style w:type="paragraph" w:styleId="742">
    <w:name w:val="annotation text"/>
    <w:basedOn w:val="729"/>
    <w:link w:val="1026"/>
    <w:uiPriority w:val="99"/>
    <w:semiHidden/>
    <w:unhideWhenUsed/>
    <w:qFormat/>
    <w:pPr>
      <w:jc w:val="left"/>
    </w:pPr>
  </w:style>
  <w:style w:type="paragraph" w:styleId="743">
    <w:name w:val="toc 7"/>
    <w:basedOn w:val="729"/>
    <w:next w:val="729"/>
    <w:uiPriority w:val="39"/>
    <w:unhideWhenUsed/>
    <w:qFormat/>
    <w:pPr>
      <w:ind w:left="1701"/>
      <w:spacing w:after="57"/>
    </w:pPr>
  </w:style>
  <w:style w:type="paragraph" w:styleId="744">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toc 5"/>
    <w:basedOn w:val="729"/>
    <w:next w:val="729"/>
    <w:uiPriority w:val="39"/>
    <w:unhideWhenUsed/>
    <w:qFormat/>
    <w:pPr>
      <w:ind w:left="1134"/>
      <w:spacing w:after="57"/>
    </w:pPr>
  </w:style>
  <w:style w:type="paragraph" w:styleId="746">
    <w:name w:val="toc 3"/>
    <w:basedOn w:val="729"/>
    <w:next w:val="729"/>
    <w:uiPriority w:val="39"/>
    <w:unhideWhenUsed/>
    <w:qFormat/>
    <w:pPr>
      <w:ind w:left="567"/>
      <w:spacing w:after="57"/>
    </w:pPr>
  </w:style>
  <w:style w:type="paragraph" w:styleId="747">
    <w:name w:val="toc 8"/>
    <w:basedOn w:val="729"/>
    <w:next w:val="729"/>
    <w:uiPriority w:val="39"/>
    <w:unhideWhenUsed/>
    <w:qFormat/>
    <w:pPr>
      <w:ind w:left="1984"/>
      <w:spacing w:after="57"/>
    </w:pPr>
  </w:style>
  <w:style w:type="paragraph" w:styleId="748">
    <w:name w:val="endnote text"/>
    <w:basedOn w:val="729"/>
    <w:link w:val="912"/>
    <w:uiPriority w:val="99"/>
    <w:semiHidden/>
    <w:unhideWhenUsed/>
    <w:qFormat/>
    <w:rPr>
      <w:sz w:val="20"/>
    </w:rPr>
  </w:style>
  <w:style w:type="paragraph" w:styleId="749">
    <w:name w:val="Balloon Text"/>
    <w:basedOn w:val="729"/>
    <w:link w:val="1025"/>
    <w:uiPriority w:val="99"/>
    <w:semiHidden/>
    <w:unhideWhenUsed/>
    <w:qFormat/>
    <w:rPr>
      <w:sz w:val="18"/>
      <w:szCs w:val="18"/>
    </w:rPr>
  </w:style>
  <w:style w:type="paragraph" w:styleId="750">
    <w:name w:val="Footer"/>
    <w:basedOn w:val="729"/>
    <w:link w:val="785"/>
    <w:uiPriority w:val="99"/>
    <w:unhideWhenUsed/>
    <w:qFormat/>
    <w:pPr>
      <w:tabs>
        <w:tab w:val="center" w:pos="7143" w:leader="none"/>
        <w:tab w:val="right" w:pos="14287" w:leader="none"/>
      </w:tabs>
    </w:pPr>
  </w:style>
  <w:style w:type="paragraph" w:styleId="751">
    <w:name w:val="Header"/>
    <w:basedOn w:val="729"/>
    <w:link w:val="783"/>
    <w:uiPriority w:val="99"/>
    <w:unhideWhenUsed/>
    <w:qFormat/>
    <w:pPr>
      <w:tabs>
        <w:tab w:val="center" w:pos="7143" w:leader="none"/>
        <w:tab w:val="right" w:pos="14287" w:leader="none"/>
      </w:tabs>
    </w:pPr>
  </w:style>
  <w:style w:type="paragraph" w:styleId="752">
    <w:name w:val="toc 1"/>
    <w:basedOn w:val="729"/>
    <w:next w:val="729"/>
    <w:uiPriority w:val="39"/>
    <w:unhideWhenUsed/>
    <w:qFormat/>
    <w:pPr>
      <w:spacing w:after="57"/>
    </w:pPr>
  </w:style>
  <w:style w:type="paragraph" w:styleId="753">
    <w:name w:val="toc 4"/>
    <w:basedOn w:val="729"/>
    <w:next w:val="729"/>
    <w:uiPriority w:val="39"/>
    <w:unhideWhenUsed/>
    <w:qFormat/>
    <w:pPr>
      <w:ind w:left="850"/>
      <w:spacing w:after="57"/>
    </w:pPr>
  </w:style>
  <w:style w:type="paragraph" w:styleId="754">
    <w:name w:val="Subtitle"/>
    <w:basedOn w:val="729"/>
    <w:next w:val="729"/>
    <w:link w:val="778"/>
    <w:uiPriority w:val="11"/>
    <w:qFormat/>
    <w:pPr>
      <w:spacing w:before="200" w:after="200"/>
    </w:pPr>
    <w:rPr>
      <w:sz w:val="24"/>
      <w:szCs w:val="24"/>
    </w:rPr>
  </w:style>
  <w:style w:type="paragraph" w:styleId="755">
    <w:name w:val="footnote text"/>
    <w:basedOn w:val="729"/>
    <w:link w:val="911"/>
    <w:uiPriority w:val="99"/>
    <w:semiHidden/>
    <w:unhideWhenUsed/>
    <w:qFormat/>
    <w:pPr>
      <w:spacing w:after="40"/>
    </w:pPr>
    <w:rPr>
      <w:sz w:val="18"/>
    </w:rPr>
  </w:style>
  <w:style w:type="paragraph" w:styleId="756">
    <w:name w:val="toc 6"/>
    <w:basedOn w:val="729"/>
    <w:next w:val="729"/>
    <w:uiPriority w:val="39"/>
    <w:unhideWhenUsed/>
    <w:qFormat/>
    <w:pPr>
      <w:ind w:left="1417"/>
      <w:spacing w:after="57"/>
    </w:pPr>
  </w:style>
  <w:style w:type="paragraph" w:styleId="757">
    <w:name w:val="table of figures"/>
    <w:basedOn w:val="729"/>
    <w:next w:val="729"/>
    <w:uiPriority w:val="99"/>
    <w:unhideWhenUsed/>
    <w:qFormat/>
  </w:style>
  <w:style w:type="paragraph" w:styleId="758">
    <w:name w:val="toc 2"/>
    <w:basedOn w:val="729"/>
    <w:next w:val="729"/>
    <w:uiPriority w:val="39"/>
    <w:unhideWhenUsed/>
    <w:qFormat/>
    <w:pPr>
      <w:ind w:left="283"/>
      <w:spacing w:after="57"/>
    </w:pPr>
  </w:style>
  <w:style w:type="paragraph" w:styleId="759">
    <w:name w:val="toc 9"/>
    <w:basedOn w:val="729"/>
    <w:next w:val="729"/>
    <w:uiPriority w:val="39"/>
    <w:unhideWhenUsed/>
    <w:qFormat/>
    <w:pPr>
      <w:ind w:left="2268"/>
      <w:spacing w:after="57"/>
    </w:pPr>
  </w:style>
  <w:style w:type="paragraph" w:styleId="760">
    <w:name w:val="Title"/>
    <w:basedOn w:val="729"/>
    <w:next w:val="729"/>
    <w:link w:val="777"/>
    <w:uiPriority w:val="10"/>
    <w:qFormat/>
    <w:pPr>
      <w:contextualSpacing/>
      <w:spacing w:before="300" w:after="200"/>
    </w:pPr>
    <w:rPr>
      <w:sz w:val="48"/>
      <w:szCs w:val="48"/>
    </w:rPr>
  </w:style>
  <w:style w:type="character" w:styleId="761">
    <w:name w:val="endnote reference"/>
    <w:uiPriority w:val="99"/>
    <w:semiHidden/>
    <w:unhideWhenUsed/>
    <w:qFormat/>
    <w:rPr>
      <w:vertAlign w:val="superscript"/>
    </w:rPr>
  </w:style>
  <w:style w:type="character" w:styleId="762">
    <w:name w:val="Hyperlink"/>
    <w:uiPriority w:val="99"/>
    <w:unhideWhenUsed/>
    <w:qFormat/>
    <w:rPr>
      <w:color w:val="0000ff" w:themeColor="hyperlink"/>
      <w:u w:val="single"/>
      <w14:textFill>
        <w14:solidFill>
          <w14:schemeClr w14:val="hlink"/>
        </w14:solidFill>
      </w14:textFill>
    </w:rPr>
  </w:style>
  <w:style w:type="character" w:styleId="763">
    <w:name w:val="annotation reference"/>
    <w:basedOn w:val="739"/>
    <w:uiPriority w:val="99"/>
    <w:semiHidden/>
    <w:unhideWhenUsed/>
    <w:qFormat/>
    <w:rPr>
      <w:sz w:val="21"/>
      <w:szCs w:val="21"/>
    </w:rPr>
  </w:style>
  <w:style w:type="character" w:styleId="764">
    <w:name w:val="footnote reference"/>
    <w:uiPriority w:val="99"/>
    <w:unhideWhenUsed/>
    <w:qFormat/>
    <w:rPr>
      <w:vertAlign w:val="superscript"/>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6" w:customStyle="1">
    <w:name w:val="标题 1 字符"/>
    <w:link w:val="730"/>
    <w:uiPriority w:val="9"/>
    <w:qFormat/>
    <w:rPr>
      <w:rFonts w:ascii="Arial" w:hAnsi="Arial" w:eastAsia="Arial" w:cs="Arial"/>
      <w:sz w:val="40"/>
      <w:szCs w:val="40"/>
    </w:rPr>
  </w:style>
  <w:style w:type="character" w:styleId="767" w:customStyle="1">
    <w:name w:val="标题 2 字符"/>
    <w:link w:val="731"/>
    <w:uiPriority w:val="9"/>
    <w:qFormat/>
    <w:rPr>
      <w:rFonts w:ascii="Arial" w:hAnsi="Arial" w:eastAsia="Arial" w:cs="Arial"/>
      <w:sz w:val="34"/>
    </w:rPr>
  </w:style>
  <w:style w:type="character" w:styleId="768" w:customStyle="1">
    <w:name w:val="标题 3 字符"/>
    <w:link w:val="732"/>
    <w:uiPriority w:val="9"/>
    <w:qFormat/>
    <w:rPr>
      <w:rFonts w:ascii="Arial" w:hAnsi="Arial" w:eastAsia="Arial" w:cs="Arial"/>
      <w:sz w:val="30"/>
      <w:szCs w:val="30"/>
    </w:rPr>
  </w:style>
  <w:style w:type="character" w:styleId="769" w:customStyle="1">
    <w:name w:val="标题 4 字符"/>
    <w:link w:val="733"/>
    <w:uiPriority w:val="9"/>
    <w:qFormat/>
    <w:rPr>
      <w:rFonts w:ascii="Arial" w:hAnsi="Arial" w:eastAsia="Arial" w:cs="Arial"/>
      <w:b/>
      <w:bCs/>
      <w:sz w:val="26"/>
      <w:szCs w:val="26"/>
    </w:rPr>
  </w:style>
  <w:style w:type="character" w:styleId="770" w:customStyle="1">
    <w:name w:val="标题 5 字符"/>
    <w:link w:val="734"/>
    <w:uiPriority w:val="9"/>
    <w:qFormat/>
    <w:rPr>
      <w:rFonts w:ascii="Arial" w:hAnsi="Arial" w:eastAsia="Arial" w:cs="Arial"/>
      <w:b/>
      <w:bCs/>
      <w:sz w:val="24"/>
      <w:szCs w:val="24"/>
    </w:rPr>
  </w:style>
  <w:style w:type="character" w:styleId="771" w:customStyle="1">
    <w:name w:val="标题 6 字符"/>
    <w:link w:val="735"/>
    <w:uiPriority w:val="9"/>
    <w:qFormat/>
    <w:rPr>
      <w:rFonts w:ascii="Arial" w:hAnsi="Arial" w:eastAsia="Arial" w:cs="Arial"/>
      <w:b/>
      <w:bCs/>
      <w:sz w:val="22"/>
      <w:szCs w:val="22"/>
    </w:rPr>
  </w:style>
  <w:style w:type="character" w:styleId="772" w:customStyle="1">
    <w:name w:val="标题 7 字符"/>
    <w:link w:val="736"/>
    <w:uiPriority w:val="9"/>
    <w:qFormat/>
    <w:rPr>
      <w:rFonts w:ascii="Arial" w:hAnsi="Arial" w:eastAsia="Arial" w:cs="Arial"/>
      <w:b/>
      <w:bCs/>
      <w:i/>
      <w:iCs/>
      <w:sz w:val="22"/>
      <w:szCs w:val="22"/>
    </w:rPr>
  </w:style>
  <w:style w:type="character" w:styleId="773" w:customStyle="1">
    <w:name w:val="标题 8 字符"/>
    <w:link w:val="737"/>
    <w:uiPriority w:val="9"/>
    <w:qFormat/>
    <w:rPr>
      <w:rFonts w:ascii="Arial" w:hAnsi="Arial" w:eastAsia="Arial" w:cs="Arial"/>
      <w:i/>
      <w:iCs/>
      <w:sz w:val="22"/>
      <w:szCs w:val="22"/>
    </w:rPr>
  </w:style>
  <w:style w:type="character" w:styleId="774" w:customStyle="1">
    <w:name w:val="标题 9 字符"/>
    <w:link w:val="738"/>
    <w:uiPriority w:val="9"/>
    <w:qFormat/>
    <w:rPr>
      <w:rFonts w:ascii="Arial" w:hAnsi="Arial" w:eastAsia="Arial" w:cs="Arial"/>
      <w:i/>
      <w:iCs/>
      <w:sz w:val="21"/>
      <w:szCs w:val="21"/>
    </w:rPr>
  </w:style>
  <w:style w:type="paragraph" w:styleId="775">
    <w:name w:val="List Paragraph"/>
    <w:basedOn w:val="729"/>
    <w:uiPriority w:val="34"/>
    <w:qFormat/>
    <w:pPr>
      <w:contextualSpacing/>
      <w:ind w:left="720"/>
    </w:pPr>
  </w:style>
  <w:style w:type="paragraph" w:styleId="776">
    <w:name w:val="No Spacing"/>
    <w:uiPriority w:val="1"/>
    <w:qFormat/>
    <w:rPr>
      <w:rFonts w:ascii="Calibri" w:hAnsi="Calibri" w:eastAsia="宋体" w:cs="Times New Roman"/>
      <w:lang w:val="en-US" w:eastAsia="zh-CN" w:bidi="ar-SA"/>
    </w:rPr>
  </w:style>
  <w:style w:type="character" w:styleId="777" w:customStyle="1">
    <w:name w:val="标题 字符"/>
    <w:link w:val="760"/>
    <w:uiPriority w:val="10"/>
    <w:qFormat/>
    <w:rPr>
      <w:sz w:val="48"/>
      <w:szCs w:val="48"/>
    </w:rPr>
  </w:style>
  <w:style w:type="character" w:styleId="778" w:customStyle="1">
    <w:name w:val="副标题 字符"/>
    <w:link w:val="754"/>
    <w:uiPriority w:val="11"/>
    <w:qFormat/>
    <w:rPr>
      <w:sz w:val="24"/>
      <w:szCs w:val="24"/>
    </w:rPr>
  </w:style>
  <w:style w:type="paragraph" w:styleId="779">
    <w:name w:val="Quote"/>
    <w:basedOn w:val="729"/>
    <w:next w:val="729"/>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729"/>
    <w:next w:val="729"/>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51"/>
    <w:uiPriority w:val="99"/>
    <w:qFormat/>
  </w:style>
  <w:style w:type="character" w:styleId="784" w:customStyle="1">
    <w:name w:val="Footer Char"/>
    <w:uiPriority w:val="99"/>
    <w:qFormat/>
  </w:style>
  <w:style w:type="character" w:styleId="785" w:customStyle="1">
    <w:name w:val="页脚 字符"/>
    <w:link w:val="750"/>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55"/>
    <w:uiPriority w:val="99"/>
    <w:qFormat/>
    <w:rPr>
      <w:sz w:val="18"/>
    </w:rPr>
  </w:style>
  <w:style w:type="character" w:styleId="912" w:customStyle="1">
    <w:name w:val="尾注文本 字符"/>
    <w:link w:val="748"/>
    <w:uiPriority w:val="99"/>
    <w:qFormat/>
    <w:rPr>
      <w:sz w:val="20"/>
    </w:rPr>
  </w:style>
  <w:style w:type="paragraph" w:styleId="913" w:customStyle="1">
    <w:name w:val="TOC 标题1"/>
    <w:uiPriority w:val="39"/>
    <w:unhideWhenUsed/>
    <w:qFormat/>
    <w:rPr>
      <w:rFonts w:ascii="Calibri" w:hAnsi="Calibri" w:eastAsia="宋体" w:cs="Times New Roman"/>
      <w:lang w:val="en-US" w:eastAsia="zh-CN" w:bidi="ar-SA"/>
    </w:rPr>
  </w:style>
  <w:style w:type="paragraph" w:styleId="914" w:customStyle="1">
    <w:name w:val="标题 11"/>
    <w:basedOn w:val="729"/>
    <w:next w:val="729"/>
    <w:link w:val="926"/>
    <w:uiPriority w:val="0"/>
    <w:qFormat/>
    <w:pPr>
      <w:jc w:val="center"/>
      <w:keepNext/>
      <w:outlineLvl w:val="0"/>
    </w:pPr>
    <w:rPr>
      <w:rFonts w:ascii="楷体_GB2312" w:eastAsia="楷体_GB2312"/>
      <w:sz w:val="28"/>
      <w:szCs w:val="28"/>
    </w:rPr>
  </w:style>
  <w:style w:type="paragraph" w:styleId="915" w:customStyle="1">
    <w:name w:val="标题 21"/>
    <w:basedOn w:val="729"/>
    <w:next w:val="916"/>
    <w:link w:val="9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6" w:customStyle="1">
    <w:name w:val="正文缩进1"/>
    <w:basedOn w:val="729"/>
    <w:link w:val="935"/>
    <w:uiPriority w:val="99"/>
    <w:qFormat/>
    <w:pPr>
      <w:ind w:firstLine="420"/>
    </w:pPr>
  </w:style>
  <w:style w:type="paragraph" w:styleId="917" w:customStyle="1">
    <w:name w:val="标题 31"/>
    <w:basedOn w:val="729"/>
    <w:next w:val="916"/>
    <w:link w:val="928"/>
    <w:uiPriority w:val="0"/>
    <w:qFormat/>
    <w:pPr>
      <w:keepLines/>
      <w:keepNext/>
      <w:spacing w:before="260" w:after="260" w:line="416" w:lineRule="auto"/>
      <w:outlineLvl w:val="2"/>
    </w:pPr>
    <w:rPr>
      <w:b/>
      <w:bCs/>
      <w:sz w:val="32"/>
      <w:szCs w:val="32"/>
    </w:rPr>
  </w:style>
  <w:style w:type="paragraph" w:styleId="918" w:customStyle="1">
    <w:name w:val="标题 41"/>
    <w:basedOn w:val="729"/>
    <w:next w:val="916"/>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29"/>
    <w:next w:val="916"/>
    <w:link w:val="930"/>
    <w:uiPriority w:val="0"/>
    <w:qFormat/>
    <w:pPr>
      <w:keepNext/>
      <w:outlineLvl w:val="4"/>
    </w:pPr>
    <w:rPr>
      <w:rFonts w:ascii="宋体"/>
      <w:color w:val="000000"/>
      <w:sz w:val="28"/>
      <w:szCs w:val="28"/>
    </w:rPr>
  </w:style>
  <w:style w:type="paragraph" w:styleId="920" w:customStyle="1">
    <w:name w:val="标题 61"/>
    <w:basedOn w:val="729"/>
    <w:next w:val="729"/>
    <w:link w:val="93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1" w:customStyle="1">
    <w:name w:val="标题 71"/>
    <w:basedOn w:val="729"/>
    <w:next w:val="729"/>
    <w:link w:val="932"/>
    <w:uiPriority w:val="0"/>
    <w:qFormat/>
    <w:pPr>
      <w:numPr>
        <w:ilvl w:val="6"/>
        <w:numId w:val="1"/>
      </w:numPr>
      <w:keepLines/>
      <w:keepNext/>
      <w:spacing w:before="240" w:after="64" w:line="320" w:lineRule="auto"/>
      <w:outlineLvl w:val="6"/>
    </w:pPr>
    <w:rPr>
      <w:b/>
      <w:bCs/>
      <w:sz w:val="24"/>
      <w:szCs w:val="24"/>
    </w:rPr>
  </w:style>
  <w:style w:type="paragraph" w:styleId="922" w:customStyle="1">
    <w:name w:val="标题 81"/>
    <w:basedOn w:val="729"/>
    <w:next w:val="729"/>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3" w:customStyle="1">
    <w:name w:val="标题 91"/>
    <w:basedOn w:val="729"/>
    <w:next w:val="729"/>
    <w:link w:val="934"/>
    <w:uiPriority w:val="0"/>
    <w:qFormat/>
    <w:pPr>
      <w:numPr>
        <w:ilvl w:val="8"/>
        <w:numId w:val="1"/>
      </w:numPr>
      <w:keepLines/>
      <w:keepNext/>
      <w:spacing w:before="240" w:after="64" w:line="320" w:lineRule="auto"/>
      <w:outlineLvl w:val="8"/>
    </w:pPr>
    <w:rPr>
      <w:rFonts w:ascii="Arial" w:hAnsi="Arial" w:eastAsia="黑体"/>
    </w:rPr>
  </w:style>
  <w:style w:type="character" w:styleId="924" w:customStyle="1">
    <w:name w:val="默认段落字体1"/>
    <w:uiPriority w:val="1"/>
    <w:semiHidden/>
    <w:unhideWhenUsed/>
    <w:qFormat/>
  </w:style>
  <w:style w:type="table" w:styleId="925" w:customStyle="1">
    <w:name w:val="普通表格1"/>
    <w:uiPriority w:val="99"/>
    <w:semiHidden/>
    <w:unhideWhenUsed/>
    <w:qFormat/>
    <w:tblPr>
      <w:tblLayout w:type="fixed"/>
      <w:tblCellMar>
        <w:left w:w="0" w:type="dxa"/>
        <w:top w:w="0" w:type="dxa"/>
        <w:right w:w="0" w:type="dxa"/>
        <w:bottom w:w="0" w:type="dxa"/>
      </w:tblCellMar>
    </w:tblPr>
  </w:style>
  <w:style w:type="character" w:styleId="926" w:customStyle="1">
    <w:name w:val="标题 1 Char"/>
    <w:link w:val="914"/>
    <w:uiPriority w:val="0"/>
    <w:qFormat/>
    <w:rPr>
      <w:rFonts w:ascii="楷体_GB2312" w:hAnsi="Times New Roman" w:eastAsia="楷体_GB2312" w:cs="Times New Roman"/>
      <w:sz w:val="28"/>
      <w:szCs w:val="28"/>
    </w:rPr>
  </w:style>
  <w:style w:type="character" w:styleId="927" w:customStyle="1">
    <w:name w:val="标题 2 Char"/>
    <w:link w:val="915"/>
    <w:uiPriority w:val="0"/>
    <w:qFormat/>
    <w:rPr>
      <w:rFonts w:ascii="Arial" w:hAnsi="Arial" w:eastAsia="幼圆" w:cs="Arial"/>
      <w:b/>
      <w:bCs/>
      <w:sz w:val="44"/>
      <w:szCs w:val="44"/>
    </w:rPr>
  </w:style>
  <w:style w:type="character" w:styleId="928" w:customStyle="1">
    <w:name w:val="标题 3 Char"/>
    <w:link w:val="917"/>
    <w:uiPriority w:val="0"/>
    <w:qFormat/>
    <w:rPr>
      <w:rFonts w:ascii="Times New Roman" w:hAnsi="Times New Roman" w:eastAsia="宋体" w:cs="Times New Roman"/>
      <w:b/>
      <w:bCs/>
      <w:sz w:val="32"/>
      <w:szCs w:val="32"/>
    </w:rPr>
  </w:style>
  <w:style w:type="character" w:styleId="929" w:customStyle="1">
    <w:name w:val="标题 4 Char"/>
    <w:link w:val="918"/>
    <w:uiPriority w:val="0"/>
    <w:qFormat/>
    <w:rPr>
      <w:rFonts w:ascii="Arial" w:hAnsi="Arial" w:eastAsia="黑体" w:cs="Arial"/>
      <w:b/>
      <w:bCs/>
      <w:sz w:val="28"/>
      <w:szCs w:val="28"/>
    </w:rPr>
  </w:style>
  <w:style w:type="character" w:styleId="930" w:customStyle="1">
    <w:name w:val="标题 5 Char"/>
    <w:link w:val="919"/>
    <w:uiPriority w:val="0"/>
    <w:qFormat/>
    <w:rPr>
      <w:rFonts w:ascii="宋体" w:hAnsi="Times New Roman" w:eastAsia="宋体" w:cs="Times New Roman"/>
      <w:color w:val="000000"/>
      <w:sz w:val="28"/>
      <w:szCs w:val="28"/>
    </w:rPr>
  </w:style>
  <w:style w:type="character" w:styleId="931" w:customStyle="1">
    <w:name w:val="标题 6 Char"/>
    <w:link w:val="920"/>
    <w:uiPriority w:val="0"/>
    <w:qFormat/>
    <w:rPr>
      <w:rFonts w:ascii="Arial" w:hAnsi="Arial" w:eastAsia="黑体" w:cs="Times New Roman"/>
      <w:b/>
      <w:bCs/>
      <w:sz w:val="24"/>
      <w:szCs w:val="24"/>
    </w:rPr>
  </w:style>
  <w:style w:type="character" w:styleId="932" w:customStyle="1">
    <w:name w:val="标题 7 Char"/>
    <w:link w:val="921"/>
    <w:uiPriority w:val="0"/>
    <w:qFormat/>
    <w:rPr>
      <w:rFonts w:ascii="Times New Roman" w:hAnsi="Times New Roman" w:eastAsia="宋体" w:cs="Times New Roman"/>
      <w:b/>
      <w:bCs/>
      <w:sz w:val="24"/>
      <w:szCs w:val="24"/>
    </w:rPr>
  </w:style>
  <w:style w:type="character" w:styleId="933" w:customStyle="1">
    <w:name w:val="标题 8 Char"/>
    <w:link w:val="922"/>
    <w:uiPriority w:val="0"/>
    <w:qFormat/>
    <w:rPr>
      <w:rFonts w:ascii="Arial" w:hAnsi="Arial" w:eastAsia="黑体" w:cs="Times New Roman"/>
      <w:sz w:val="24"/>
      <w:szCs w:val="24"/>
    </w:rPr>
  </w:style>
  <w:style w:type="character" w:styleId="934" w:customStyle="1">
    <w:name w:val="标题 9 Char"/>
    <w:link w:val="923"/>
    <w:uiPriority w:val="0"/>
    <w:qFormat/>
    <w:rPr>
      <w:rFonts w:ascii="Arial" w:hAnsi="Arial" w:eastAsia="黑体" w:cs="Times New Roman"/>
      <w:szCs w:val="21"/>
    </w:rPr>
  </w:style>
  <w:style w:type="character" w:styleId="935" w:customStyle="1">
    <w:name w:val="正文缩进 Char"/>
    <w:link w:val="916"/>
    <w:uiPriority w:val="0"/>
    <w:qFormat/>
    <w:rPr>
      <w:rFonts w:ascii="Times New Roman" w:hAnsi="Times New Roman" w:eastAsia="宋体" w:cs="Times New Roman"/>
      <w:szCs w:val="21"/>
    </w:rPr>
  </w:style>
  <w:style w:type="paragraph" w:styleId="936" w:customStyle="1">
    <w:name w:val="列表 31"/>
    <w:basedOn w:val="729"/>
    <w:uiPriority w:val="0"/>
    <w:qFormat/>
    <w:pPr>
      <w:ind w:left="100" w:hanging="200"/>
    </w:pPr>
  </w:style>
  <w:style w:type="paragraph" w:styleId="937" w:customStyle="1">
    <w:name w:val="目录 71"/>
    <w:basedOn w:val="729"/>
    <w:next w:val="729"/>
    <w:uiPriority w:val="0"/>
    <w:semiHidden/>
    <w:qFormat/>
    <w:pPr>
      <w:ind w:left="1260"/>
      <w:jc w:val="left"/>
    </w:pPr>
  </w:style>
  <w:style w:type="paragraph" w:styleId="938" w:customStyle="1">
    <w:name w:val="文档结构图1"/>
    <w:basedOn w:val="729"/>
    <w:link w:val="939"/>
    <w:uiPriority w:val="0"/>
    <w:semiHidden/>
    <w:qFormat/>
    <w:pPr>
      <w:shd w:val="clear" w:color="auto" w:fill="000080"/>
    </w:pPr>
  </w:style>
  <w:style w:type="character" w:styleId="939"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29"/>
    <w:link w:val="941"/>
    <w:uiPriority w:val="0"/>
    <w:semiHidden/>
    <w:qFormat/>
    <w:pPr>
      <w:jc w:val="left"/>
    </w:pPr>
  </w:style>
  <w:style w:type="character" w:styleId="941" w:customStyle="1">
    <w:name w:val="批注文字 Char"/>
    <w:link w:val="940"/>
    <w:uiPriority w:val="0"/>
    <w:semiHidden/>
    <w:qFormat/>
    <w:rPr>
      <w:rFonts w:ascii="Times New Roman" w:hAnsi="Times New Roman" w:eastAsia="宋体" w:cs="Times New Roman"/>
      <w:szCs w:val="21"/>
    </w:rPr>
  </w:style>
  <w:style w:type="paragraph" w:styleId="942" w:customStyle="1">
    <w:name w:val="正文文本 31"/>
    <w:basedOn w:val="729"/>
    <w:link w:val="943"/>
    <w:uiPriority w:val="0"/>
    <w:qFormat/>
    <w:rPr>
      <w:rFonts w:ascii="仿宋_GB2312" w:hAnsi="Arial" w:eastAsia="仿宋_GB2312"/>
      <w:sz w:val="32"/>
      <w:szCs w:val="32"/>
    </w:rPr>
  </w:style>
  <w:style w:type="character" w:styleId="943" w:customStyle="1">
    <w:name w:val="正文文本 3 Char"/>
    <w:link w:val="942"/>
    <w:uiPriority w:val="0"/>
    <w:qFormat/>
    <w:rPr>
      <w:rFonts w:ascii="仿宋_GB2312" w:hAnsi="Arial" w:eastAsia="仿宋_GB2312" w:cs="Times New Roman"/>
      <w:sz w:val="32"/>
      <w:szCs w:val="32"/>
    </w:rPr>
  </w:style>
  <w:style w:type="paragraph" w:styleId="944" w:customStyle="1">
    <w:name w:val="正文文本1"/>
    <w:basedOn w:val="729"/>
    <w:link w:val="945"/>
    <w:uiPriority w:val="0"/>
    <w:qFormat/>
    <w:rPr>
      <w:rFonts w:ascii="楷体_GB2312" w:hAnsi="Arial" w:eastAsia="楷体_GB2312"/>
      <w:sz w:val="28"/>
      <w:szCs w:val="28"/>
    </w:rPr>
  </w:style>
  <w:style w:type="character" w:styleId="945" w:customStyle="1">
    <w:name w:val="正文文本 Char"/>
    <w:link w:val="944"/>
    <w:uiPriority w:val="0"/>
    <w:qFormat/>
    <w:rPr>
      <w:rFonts w:ascii="楷体_GB2312" w:hAnsi="Arial" w:eastAsia="楷体_GB2312" w:cs="Times New Roman"/>
      <w:sz w:val="28"/>
      <w:szCs w:val="28"/>
    </w:rPr>
  </w:style>
  <w:style w:type="paragraph" w:styleId="946" w:customStyle="1">
    <w:name w:val="正文文本缩进1"/>
    <w:basedOn w:val="729"/>
    <w:link w:val="947"/>
    <w:uiPriority w:val="0"/>
    <w:qFormat/>
    <w:pPr>
      <w:ind w:firstLine="645"/>
    </w:pPr>
    <w:rPr>
      <w:rFonts w:ascii="楷体_GB2312" w:eastAsia="楷体_GB2312"/>
      <w:sz w:val="32"/>
      <w:szCs w:val="32"/>
    </w:rPr>
  </w:style>
  <w:style w:type="character" w:styleId="947" w:customStyle="1">
    <w:name w:val="正文文本缩进 Char"/>
    <w:link w:val="946"/>
    <w:uiPriority w:val="0"/>
    <w:qFormat/>
    <w:rPr>
      <w:rFonts w:ascii="楷体_GB2312" w:hAnsi="Times New Roman" w:eastAsia="楷体_GB2312" w:cs="Times New Roman"/>
      <w:sz w:val="32"/>
      <w:szCs w:val="32"/>
    </w:rPr>
  </w:style>
  <w:style w:type="paragraph" w:styleId="948" w:customStyle="1">
    <w:name w:val="列表 21"/>
    <w:basedOn w:val="729"/>
    <w:uiPriority w:val="0"/>
    <w:qFormat/>
    <w:pPr>
      <w:ind w:left="100" w:hanging="200"/>
    </w:pPr>
  </w:style>
  <w:style w:type="paragraph" w:styleId="949" w:customStyle="1">
    <w:name w:val="目录 51"/>
    <w:basedOn w:val="729"/>
    <w:next w:val="729"/>
    <w:uiPriority w:val="0"/>
    <w:semiHidden/>
    <w:qFormat/>
    <w:pPr>
      <w:ind w:left="840"/>
      <w:jc w:val="left"/>
    </w:pPr>
  </w:style>
  <w:style w:type="paragraph" w:styleId="950" w:customStyle="1">
    <w:name w:val="目录 31"/>
    <w:basedOn w:val="729"/>
    <w:next w:val="729"/>
    <w:uiPriority w:val="0"/>
    <w:semiHidden/>
    <w:qFormat/>
    <w:pPr>
      <w:ind w:left="420"/>
      <w:jc w:val="left"/>
    </w:pPr>
    <w:rPr>
      <w:i/>
      <w:iCs/>
      <w:szCs w:val="24"/>
    </w:rPr>
  </w:style>
  <w:style w:type="paragraph" w:styleId="951" w:customStyle="1">
    <w:name w:val="纯文本1"/>
    <w:basedOn w:val="729"/>
    <w:link w:val="952"/>
    <w:uiPriority w:val="0"/>
    <w:qFormat/>
    <w:rPr>
      <w:rFonts w:ascii="宋体" w:hAnsi="Courier New" w:cs="Courier New"/>
    </w:rPr>
  </w:style>
  <w:style w:type="character" w:styleId="952" w:customStyle="1">
    <w:name w:val="纯文本 Char"/>
    <w:link w:val="951"/>
    <w:uiPriority w:val="0"/>
    <w:qFormat/>
    <w:rPr>
      <w:rFonts w:ascii="宋体" w:hAnsi="Courier New" w:eastAsia="宋体" w:cs="Courier New"/>
      <w:szCs w:val="21"/>
    </w:rPr>
  </w:style>
  <w:style w:type="paragraph" w:styleId="953" w:customStyle="1">
    <w:name w:val="目录 81"/>
    <w:basedOn w:val="729"/>
    <w:next w:val="729"/>
    <w:uiPriority w:val="0"/>
    <w:semiHidden/>
    <w:qFormat/>
    <w:pPr>
      <w:ind w:left="1470"/>
      <w:jc w:val="left"/>
    </w:pPr>
  </w:style>
  <w:style w:type="paragraph" w:styleId="954" w:customStyle="1">
    <w:name w:val="日期1"/>
    <w:basedOn w:val="729"/>
    <w:next w:val="729"/>
    <w:link w:val="955"/>
    <w:uiPriority w:val="0"/>
    <w:qFormat/>
    <w:rPr>
      <w:sz w:val="24"/>
      <w:szCs w:val="24"/>
    </w:rPr>
  </w:style>
  <w:style w:type="character" w:styleId="955" w:customStyle="1">
    <w:name w:val="日期 Char"/>
    <w:link w:val="954"/>
    <w:uiPriority w:val="0"/>
    <w:qFormat/>
    <w:rPr>
      <w:rFonts w:ascii="Times New Roman" w:hAnsi="Times New Roman" w:eastAsia="宋体" w:cs="Times New Roman"/>
      <w:sz w:val="24"/>
      <w:szCs w:val="24"/>
    </w:rPr>
  </w:style>
  <w:style w:type="paragraph" w:styleId="956" w:customStyle="1">
    <w:name w:val="正文文本缩进 21"/>
    <w:basedOn w:val="729"/>
    <w:link w:val="957"/>
    <w:uiPriority w:val="0"/>
    <w:qFormat/>
    <w:pPr>
      <w:ind w:left="630" w:firstLine="645"/>
    </w:pPr>
    <w:rPr>
      <w:rFonts w:ascii="Arial" w:hAnsi="Arial" w:eastAsia="仿宋_GB2312" w:cs="Arial"/>
      <w:sz w:val="32"/>
      <w:szCs w:val="32"/>
    </w:rPr>
  </w:style>
  <w:style w:type="character" w:styleId="957" w:customStyle="1">
    <w:name w:val="正文文本缩进 2 Char"/>
    <w:link w:val="956"/>
    <w:uiPriority w:val="0"/>
    <w:qFormat/>
    <w:rPr>
      <w:rFonts w:ascii="Arial" w:hAnsi="Arial" w:eastAsia="仿宋_GB2312" w:cs="Arial"/>
      <w:sz w:val="32"/>
      <w:szCs w:val="32"/>
    </w:rPr>
  </w:style>
  <w:style w:type="paragraph" w:styleId="958" w:customStyle="1">
    <w:name w:val="批注框文本1"/>
    <w:basedOn w:val="729"/>
    <w:link w:val="959"/>
    <w:uiPriority w:val="0"/>
    <w:semiHidden/>
    <w:qFormat/>
    <w:rPr>
      <w:sz w:val="18"/>
      <w:szCs w:val="18"/>
    </w:rPr>
  </w:style>
  <w:style w:type="character" w:styleId="959" w:customStyle="1">
    <w:name w:val="批注框文本 Char"/>
    <w:link w:val="958"/>
    <w:uiPriority w:val="0"/>
    <w:semiHidden/>
    <w:qFormat/>
    <w:rPr>
      <w:rFonts w:ascii="Times New Roman" w:hAnsi="Times New Roman" w:eastAsia="宋体" w:cs="Times New Roman"/>
      <w:sz w:val="18"/>
      <w:szCs w:val="18"/>
    </w:rPr>
  </w:style>
  <w:style w:type="paragraph" w:styleId="960" w:customStyle="1">
    <w:name w:val="页脚1"/>
    <w:basedOn w:val="729"/>
    <w:link w:val="961"/>
    <w:uiPriority w:val="0"/>
    <w:qFormat/>
    <w:pPr>
      <w:jc w:val="left"/>
      <w:tabs>
        <w:tab w:val="center" w:pos="4153" w:leader="none"/>
        <w:tab w:val="right" w:pos="8306" w:leader="none"/>
      </w:tabs>
    </w:pPr>
    <w:rPr>
      <w:sz w:val="18"/>
      <w:szCs w:val="18"/>
    </w:rPr>
  </w:style>
  <w:style w:type="character" w:styleId="961" w:customStyle="1">
    <w:name w:val="页脚 Char"/>
    <w:link w:val="960"/>
    <w:uiPriority w:val="0"/>
    <w:qFormat/>
    <w:rPr>
      <w:rFonts w:ascii="Times New Roman" w:hAnsi="Times New Roman" w:eastAsia="宋体" w:cs="Times New Roman"/>
      <w:sz w:val="18"/>
      <w:szCs w:val="18"/>
    </w:rPr>
  </w:style>
  <w:style w:type="paragraph" w:styleId="962" w:customStyle="1">
    <w:name w:val="页眉1"/>
    <w:basedOn w:val="729"/>
    <w:link w:val="963"/>
    <w:uiPriority w:val="0"/>
    <w:qFormat/>
    <w:pPr>
      <w:jc w:val="center"/>
      <w:tabs>
        <w:tab w:val="center" w:pos="4153" w:leader="none"/>
        <w:tab w:val="right" w:pos="8306" w:leader="none"/>
      </w:tabs>
      <w:pBdr>
        <w:bottom w:val="single" w:color="000000" w:sz="6" w:space="1"/>
      </w:pBdr>
    </w:pPr>
    <w:rPr>
      <w:sz w:val="18"/>
      <w:szCs w:val="18"/>
    </w:rPr>
  </w:style>
  <w:style w:type="character" w:styleId="963" w:customStyle="1">
    <w:name w:val="页眉 Char"/>
    <w:link w:val="962"/>
    <w:uiPriority w:val="0"/>
    <w:qFormat/>
    <w:rPr>
      <w:rFonts w:ascii="Times New Roman" w:hAnsi="Times New Roman" w:eastAsia="宋体" w:cs="Times New Roman"/>
      <w:sz w:val="18"/>
      <w:szCs w:val="18"/>
    </w:rPr>
  </w:style>
  <w:style w:type="paragraph" w:styleId="964" w:customStyle="1">
    <w:name w:val="目录 11"/>
    <w:basedOn w:val="729"/>
    <w:next w:val="729"/>
    <w:uiPriority w:val="0"/>
    <w:semiHidden/>
    <w:qFormat/>
    <w:pPr>
      <w:jc w:val="left"/>
      <w:spacing w:before="120" w:after="120" w:line="400" w:lineRule="exact"/>
      <w:tabs>
        <w:tab w:val="right" w:pos="8720" w:leader="dot"/>
      </w:tabs>
    </w:pPr>
    <w:rPr>
      <w:rFonts w:ascii="宋体" w:hAnsi="宋体"/>
      <w:caps/>
      <w:sz w:val="24"/>
      <w:szCs w:val="24"/>
    </w:rPr>
  </w:style>
  <w:style w:type="paragraph" w:styleId="965" w:customStyle="1">
    <w:name w:val="目录 41"/>
    <w:basedOn w:val="729"/>
    <w:next w:val="729"/>
    <w:uiPriority w:val="0"/>
    <w:semiHidden/>
    <w:qFormat/>
    <w:pPr>
      <w:ind w:left="630"/>
      <w:jc w:val="left"/>
    </w:pPr>
  </w:style>
  <w:style w:type="paragraph" w:styleId="966" w:customStyle="1">
    <w:name w:val="列表1"/>
    <w:basedOn w:val="729"/>
    <w:uiPriority w:val="0"/>
    <w:qFormat/>
    <w:pPr>
      <w:ind w:left="200" w:hanging="200"/>
    </w:pPr>
  </w:style>
  <w:style w:type="paragraph" w:styleId="967" w:customStyle="1">
    <w:name w:val="目录 61"/>
    <w:basedOn w:val="729"/>
    <w:next w:val="729"/>
    <w:uiPriority w:val="0"/>
    <w:semiHidden/>
    <w:qFormat/>
    <w:pPr>
      <w:ind w:left="1050"/>
      <w:jc w:val="left"/>
    </w:pPr>
  </w:style>
  <w:style w:type="paragraph" w:styleId="968" w:customStyle="1">
    <w:name w:val="正文文本缩进 31"/>
    <w:basedOn w:val="729"/>
    <w:link w:val="969"/>
    <w:uiPriority w:val="0"/>
    <w:qFormat/>
    <w:pPr>
      <w:ind w:left="645" w:firstLine="645"/>
    </w:pPr>
    <w:rPr>
      <w:rFonts w:ascii="Arial" w:hAnsi="Arial" w:eastAsia="仿宋_GB2312" w:cs="Arial"/>
      <w:color w:val="ffff00"/>
      <w:sz w:val="32"/>
      <w:szCs w:val="32"/>
    </w:rPr>
  </w:style>
  <w:style w:type="character" w:styleId="969" w:customStyle="1">
    <w:name w:val="正文文本缩进 3 Char"/>
    <w:link w:val="968"/>
    <w:uiPriority w:val="0"/>
    <w:qFormat/>
    <w:rPr>
      <w:rFonts w:ascii="Arial" w:hAnsi="Arial" w:eastAsia="仿宋_GB2312" w:cs="Arial"/>
      <w:color w:val="ffff00"/>
      <w:sz w:val="32"/>
      <w:szCs w:val="32"/>
    </w:rPr>
  </w:style>
  <w:style w:type="paragraph" w:styleId="970" w:customStyle="1">
    <w:name w:val="图表目录1"/>
    <w:basedOn w:val="729"/>
    <w:next w:val="729"/>
    <w:uiPriority w:val="0"/>
    <w:semiHidden/>
    <w:qFormat/>
    <w:pPr>
      <w:ind w:left="840" w:hanging="420"/>
    </w:pPr>
  </w:style>
  <w:style w:type="paragraph" w:styleId="971" w:customStyle="1">
    <w:name w:val="目录 21"/>
    <w:basedOn w:val="729"/>
    <w:next w:val="729"/>
    <w:uiPriority w:val="0"/>
    <w:semiHidden/>
    <w:qFormat/>
    <w:pPr>
      <w:ind w:left="210"/>
      <w:jc w:val="left"/>
    </w:pPr>
    <w:rPr>
      <w:smallCaps/>
      <w:szCs w:val="24"/>
    </w:rPr>
  </w:style>
  <w:style w:type="paragraph" w:styleId="972" w:customStyle="1">
    <w:name w:val="目录 91"/>
    <w:basedOn w:val="729"/>
    <w:next w:val="729"/>
    <w:uiPriority w:val="0"/>
    <w:semiHidden/>
    <w:qFormat/>
    <w:pPr>
      <w:ind w:left="1680"/>
      <w:jc w:val="left"/>
    </w:pPr>
  </w:style>
  <w:style w:type="paragraph" w:styleId="973" w:customStyle="1">
    <w:name w:val="正文文本 21"/>
    <w:basedOn w:val="729"/>
    <w:link w:val="974"/>
    <w:uiPriority w:val="0"/>
    <w:qFormat/>
    <w:pPr>
      <w:jc w:val="center"/>
      <w:widowControl/>
    </w:pPr>
    <w:rPr>
      <w:rFonts w:ascii="楷体_GB2312" w:eastAsia="楷体_GB2312"/>
      <w:sz w:val="28"/>
      <w:szCs w:val="28"/>
    </w:rPr>
  </w:style>
  <w:style w:type="character" w:styleId="974" w:customStyle="1">
    <w:name w:val="正文文本 2 Char"/>
    <w:link w:val="973"/>
    <w:uiPriority w:val="0"/>
    <w:qFormat/>
    <w:rPr>
      <w:rFonts w:ascii="楷体_GB2312" w:hAnsi="Times New Roman" w:eastAsia="楷体_GB2312" w:cs="Times New Roman"/>
      <w:sz w:val="28"/>
      <w:szCs w:val="28"/>
    </w:rPr>
  </w:style>
  <w:style w:type="paragraph" w:styleId="975"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976" w:customStyle="1">
    <w:name w:val="索引 11"/>
    <w:basedOn w:val="729"/>
    <w:next w:val="729"/>
    <w:uiPriority w:val="0"/>
    <w:semiHidden/>
    <w:qFormat/>
    <w:pPr>
      <w:spacing w:line="240" w:lineRule="atLeast"/>
    </w:pPr>
    <w:rPr>
      <w:b/>
      <w:bCs/>
    </w:rPr>
  </w:style>
  <w:style w:type="paragraph" w:styleId="977" w:customStyle="1">
    <w:name w:val="批注主题1"/>
    <w:basedOn w:val="940"/>
    <w:next w:val="940"/>
    <w:link w:val="978"/>
    <w:uiPriority w:val="0"/>
    <w:semiHidden/>
    <w:qFormat/>
    <w:rPr>
      <w:b/>
      <w:bCs/>
    </w:rPr>
  </w:style>
  <w:style w:type="character" w:styleId="978" w:customStyle="1">
    <w:name w:val="批注主题 Char"/>
    <w:link w:val="977"/>
    <w:uiPriority w:val="0"/>
    <w:semiHidden/>
    <w:qFormat/>
    <w:rPr>
      <w:rFonts w:ascii="Times New Roman" w:hAnsi="Times New Roman" w:eastAsia="宋体" w:cs="Times New Roman"/>
      <w:b/>
      <w:bCs/>
      <w:szCs w:val="21"/>
    </w:rPr>
  </w:style>
  <w:style w:type="paragraph" w:styleId="979" w:customStyle="1">
    <w:name w:val="正文首行缩进1"/>
    <w:basedOn w:val="729"/>
    <w:link w:val="980"/>
    <w:uiPriority w:val="0"/>
    <w:qFormat/>
    <w:pPr>
      <w:ind w:firstLine="200"/>
      <w:spacing w:line="360" w:lineRule="auto"/>
    </w:pPr>
    <w:rPr>
      <w:rFonts w:ascii="仿宋_GB2312" w:eastAsia="仿宋_GB2312"/>
      <w:sz w:val="30"/>
      <w:szCs w:val="30"/>
    </w:rPr>
  </w:style>
  <w:style w:type="character" w:styleId="980" w:customStyle="1">
    <w:name w:val="正文首行缩进 Char"/>
    <w:link w:val="979"/>
    <w:uiPriority w:val="0"/>
    <w:qFormat/>
    <w:rPr>
      <w:rFonts w:ascii="仿宋_GB2312" w:hAnsi="Times New Roman" w:eastAsia="仿宋_GB2312" w:cs="Times New Roman"/>
      <w:sz w:val="30"/>
      <w:szCs w:val="30"/>
    </w:rPr>
  </w:style>
  <w:style w:type="paragraph" w:styleId="981" w:customStyle="1">
    <w:name w:val="正文首行缩进 21"/>
    <w:basedOn w:val="946"/>
    <w:link w:val="982"/>
    <w:uiPriority w:val="0"/>
    <w:qFormat/>
    <w:pPr>
      <w:ind w:firstLine="420"/>
      <w:spacing w:line="360" w:lineRule="auto"/>
    </w:pPr>
    <w:rPr>
      <w:rFonts w:ascii="宋体" w:hAnsi="宋体" w:eastAsia="宋体"/>
      <w:sz w:val="21"/>
      <w:szCs w:val="20"/>
    </w:rPr>
  </w:style>
  <w:style w:type="character" w:styleId="982" w:customStyle="1">
    <w:name w:val="正文首行缩进 2 Char"/>
    <w:link w:val="981"/>
    <w:uiPriority w:val="0"/>
    <w:qFormat/>
    <w:rPr>
      <w:rFonts w:ascii="宋体" w:hAnsi="宋体" w:eastAsia="宋体" w:cs="Times New Roman"/>
      <w:sz w:val="32"/>
      <w:szCs w:val="20"/>
    </w:rPr>
  </w:style>
  <w:style w:type="table" w:styleId="983" w:customStyle="1">
    <w:name w:val="网格型1"/>
    <w:basedOn w:val="925"/>
    <w:uiPriority w:val="0"/>
    <w:qFormat/>
    <w:pPr>
      <w:jc w:val="both"/>
      <w:widowControl w:val="off"/>
    </w:pPr>
    <w:rPr>
      <w:rFonts w:ascii="Times New Roman" w:hAnsi="Times New Roman"/>
    </w:rPr>
    <w:tblPr/>
  </w:style>
  <w:style w:type="character" w:styleId="984" w:customStyle="1">
    <w:name w:val="要点1"/>
    <w:uiPriority w:val="0"/>
    <w:qFormat/>
    <w:rPr>
      <w:b/>
      <w:bCs/>
    </w:rPr>
  </w:style>
  <w:style w:type="character" w:styleId="985" w:customStyle="1">
    <w:name w:val="页码1"/>
    <w:uiPriority w:val="0"/>
    <w:qFormat/>
  </w:style>
  <w:style w:type="character" w:styleId="986" w:customStyle="1">
    <w:name w:val="访问过的超链接1"/>
    <w:uiPriority w:val="0"/>
    <w:qFormat/>
    <w:rPr>
      <w:color w:val="800080"/>
      <w:u w:val="single"/>
    </w:rPr>
  </w:style>
  <w:style w:type="character" w:styleId="987" w:customStyle="1">
    <w:name w:val="超链接1"/>
    <w:uiPriority w:val="0"/>
    <w:qFormat/>
    <w:rPr>
      <w:color w:val="0000ff"/>
      <w:u w:val="single"/>
    </w:rPr>
  </w:style>
  <w:style w:type="character" w:styleId="988" w:customStyle="1">
    <w:name w:val="批注引用1"/>
    <w:uiPriority w:val="0"/>
    <w:qFormat/>
    <w:rPr>
      <w:sz w:val="21"/>
      <w:szCs w:val="21"/>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729"/>
    <w:link w:val="99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729"/>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729"/>
    <w:next w:val="944"/>
    <w:uiPriority w:val="0"/>
    <w:qFormat/>
    <w:pPr>
      <w:spacing w:after="120"/>
    </w:pPr>
    <w:rPr>
      <w:rFonts w:ascii="宋体" w:hAnsi="Arial"/>
      <w:bCs/>
      <w:iCs/>
      <w:szCs w:val="24"/>
    </w:rPr>
  </w:style>
  <w:style w:type="paragraph" w:styleId="995"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729"/>
    <w:uiPriority w:val="0"/>
    <w:qFormat/>
    <w:pPr>
      <w:ind w:firstLine="200"/>
      <w:tabs>
        <w:tab w:val="left" w:pos="360" w:leader="none"/>
      </w:tabs>
    </w:pPr>
    <w:rPr>
      <w:sz w:val="28"/>
      <w:szCs w:val="30"/>
    </w:rPr>
  </w:style>
  <w:style w:type="paragraph" w:styleId="998" w:customStyle="1">
    <w:name w:val="Char1"/>
    <w:basedOn w:val="938"/>
    <w:uiPriority w:val="0"/>
    <w:qFormat/>
    <w:rPr>
      <w:rFonts w:ascii="Tahoma" w:hAnsi="Tahoma"/>
      <w:sz w:val="24"/>
      <w:szCs w:val="24"/>
    </w:rPr>
  </w:style>
  <w:style w:type="paragraph" w:styleId="999"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1000" w:customStyle="1">
    <w:name w:val="table_lines"/>
    <w:basedOn w:val="729"/>
    <w:uiPriority w:val="0"/>
    <w:qFormat/>
    <w:pPr>
      <w:jc w:val="left"/>
      <w:widowControl/>
    </w:pPr>
    <w:rPr>
      <w:sz w:val="20"/>
      <w:szCs w:val="20"/>
      <w:lang w:val="de-DE" w:eastAsia="de-DE"/>
    </w:rPr>
  </w:style>
  <w:style w:type="paragraph" w:styleId="100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2"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38"/>
    <w:uiPriority w:val="0"/>
    <w:qFormat/>
    <w:pPr>
      <w:spacing w:line="360" w:lineRule="auto"/>
    </w:pPr>
    <w:rPr>
      <w:rFonts w:ascii="Tahoma" w:hAnsi="Tahoma"/>
      <w:sz w:val="24"/>
      <w:szCs w:val="24"/>
    </w:rPr>
  </w:style>
  <w:style w:type="paragraph" w:styleId="1004" w:customStyle="1">
    <w:name w:val="列出段落2"/>
    <w:basedOn w:val="729"/>
    <w:uiPriority w:val="0"/>
    <w:qFormat/>
    <w:pPr>
      <w:contextualSpacing/>
      <w:ind w:left="720"/>
      <w:jc w:val="left"/>
      <w:widowControl/>
    </w:pPr>
    <w:rPr>
      <w:rFonts w:ascii="Calibri" w:hAnsi="Calibri"/>
      <w:sz w:val="24"/>
      <w:szCs w:val="24"/>
      <w:lang w:eastAsia="en-US" w:bidi="en-US"/>
    </w:rPr>
  </w:style>
  <w:style w:type="paragraph" w:styleId="1005" w:customStyle="1">
    <w:name w:val="4"/>
    <w:basedOn w:val="729"/>
    <w:next w:val="968"/>
    <w:uiPriority w:val="0"/>
    <w:qFormat/>
    <w:pPr>
      <w:ind w:firstLine="420"/>
      <w:spacing w:line="360" w:lineRule="auto"/>
    </w:pPr>
    <w:rPr>
      <w:color w:val="ff0000"/>
      <w:sz w:val="24"/>
      <w:szCs w:val="24"/>
    </w:rPr>
  </w:style>
  <w:style w:type="paragraph" w:styleId="1006"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07" w:customStyle="1">
    <w:name w:val="Char Char Char Char Char Char Char Char Char Char"/>
    <w:basedOn w:val="729"/>
    <w:uiPriority w:val="0"/>
    <w:qFormat/>
    <w:pPr>
      <w:spacing w:line="360" w:lineRule="auto"/>
    </w:pPr>
    <w:rPr>
      <w:sz w:val="24"/>
      <w:szCs w:val="20"/>
    </w:rPr>
  </w:style>
  <w:style w:type="paragraph" w:styleId="1008" w:customStyle="1">
    <w:name w:val="样式1"/>
    <w:basedOn w:val="729"/>
    <w:uiPriority w:val="0"/>
    <w:qFormat/>
    <w:pPr>
      <w:numPr>
        <w:ilvl w:val="0"/>
        <w:numId w:val="3"/>
      </w:numPr>
    </w:pPr>
    <w:rPr>
      <w:rFonts w:ascii="宋体" w:hAnsi="宋体"/>
    </w:rPr>
  </w:style>
  <w:style w:type="paragraph" w:styleId="1009"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标题3"/>
    <w:basedOn w:val="729"/>
    <w:next w:val="729"/>
    <w:uiPriority w:val="0"/>
    <w:qFormat/>
    <w:pPr>
      <w:ind w:firstLine="624"/>
      <w:spacing w:line="590" w:lineRule="atLeast"/>
    </w:pPr>
    <w:rPr>
      <w:rFonts w:ascii="方正黑体_GBK" w:eastAsia="方正黑体_GBK"/>
      <w:sz w:val="32"/>
      <w:szCs w:val="32"/>
    </w:rPr>
  </w:style>
  <w:style w:type="paragraph" w:styleId="1013"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16"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Char 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018"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19" w:customStyle="1">
    <w:name w:val="Char Char Char Char1"/>
    <w:basedOn w:val="938"/>
    <w:uiPriority w:val="0"/>
    <w:qFormat/>
    <w:pPr>
      <w:spacing w:line="360" w:lineRule="auto"/>
    </w:pPr>
    <w:rPr>
      <w:rFonts w:ascii="Tahoma" w:hAnsi="Tahoma"/>
      <w:sz w:val="24"/>
      <w:szCs w:val="24"/>
    </w:rPr>
  </w:style>
  <w:style w:type="paragraph" w:styleId="1020" w:customStyle="1">
    <w:name w:val="table_1stline"/>
    <w:basedOn w:val="729"/>
    <w:uiPriority w:val="0"/>
    <w:qFormat/>
    <w:pPr>
      <w:jc w:val="left"/>
      <w:spacing w:before="120"/>
      <w:widowControl/>
    </w:pPr>
    <w:rPr>
      <w:bCs/>
      <w:sz w:val="20"/>
      <w:szCs w:val="20"/>
      <w:lang w:val="de-DE" w:eastAsia="de-DE"/>
    </w:rPr>
  </w:style>
  <w:style w:type="paragraph" w:styleId="1021"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22"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ascii="Times New Roman" w:hAnsi="Times New Roman" w:eastAsia="宋体" w:cs="Times New Roman"/>
      <w:sz w:val="21"/>
      <w:szCs w:val="21"/>
      <w:lang w:val="en-US" w:eastAsia="zh-CN" w:bidi="ar-SA"/>
    </w:rPr>
  </w:style>
  <w:style w:type="paragraph" w:styleId="102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025" w:customStyle="1">
    <w:name w:val="批注框文本 字符"/>
    <w:basedOn w:val="739"/>
    <w:link w:val="749"/>
    <w:uiPriority w:val="99"/>
    <w:semiHidden/>
    <w:qFormat/>
    <w:rPr>
      <w:rFonts w:ascii="Times New Roman" w:hAnsi="Times New Roman"/>
      <w:sz w:val="18"/>
      <w:szCs w:val="18"/>
    </w:rPr>
  </w:style>
  <w:style w:type="character" w:styleId="1026" w:customStyle="1">
    <w:name w:val="批注文字 字符"/>
    <w:basedOn w:val="739"/>
    <w:link w:val="742"/>
    <w:uiPriority w:val="99"/>
    <w:semiHidden/>
    <w:qFormat/>
    <w:rPr>
      <w:rFonts w:ascii="Times New Roman" w:hAnsi="Times New Roman"/>
      <w:sz w:val="21"/>
      <w:szCs w:val="21"/>
    </w:rPr>
  </w:style>
  <w:style w:type="character" w:styleId="1027" w:customStyle="1">
    <w:name w:val="批注主题 字符"/>
    <w:basedOn w:val="1026"/>
    <w:link w:val="741"/>
    <w:uiPriority w:val="99"/>
    <w:semiHidden/>
    <w:qFormat/>
    <w:rPr>
      <w:rFonts w:ascii="Times New Roman" w:hAnsi="Times New Roman"/>
      <w:b/>
      <w:bCs/>
      <w:sz w:val="21"/>
      <w:szCs w:val="21"/>
    </w:rPr>
  </w:style>
  <w:style w:type="paragraph" w:styleId="1028" w:customStyle="1">
    <w:name w:val="列表段落1"/>
    <w:basedOn w:val="729"/>
    <w:link w:val="1029"/>
    <w:uiPriority w:val="34"/>
    <w:qFormat/>
    <w:pPr>
      <w:contextualSpacing/>
      <w:ind w:left="720"/>
      <w:jc w:val="left"/>
      <w:widowControl/>
    </w:pPr>
    <w:rPr>
      <w:rFonts w:ascii="Calibri" w:hAnsi="Calibri"/>
      <w:sz w:val="24"/>
      <w:szCs w:val="24"/>
      <w:lang w:eastAsia="en-US" w:bidi="en-US"/>
    </w:rPr>
  </w:style>
  <w:style w:type="character" w:styleId="1029" w:customStyle="1">
    <w:name w:val="列表段落 字符"/>
    <w:link w:val="1028"/>
    <w:uiPriority w:val="34"/>
    <w:qFormat/>
    <w:rPr>
      <w:sz w:val="24"/>
      <w:szCs w:val="24"/>
      <w:lang w:eastAsia="en-US" w:bidi="en-US"/>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马樱</cp:lastModifiedBy>
  <cp:revision>62</cp:revision>
  <dcterms:created xsi:type="dcterms:W3CDTF">2023-11-07T06:50:00Z</dcterms:created>
  <dcterms:modified xsi:type="dcterms:W3CDTF">2025-11-20T02:12:17Z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y fmtid="{D5CDD505-2E9C-101B-9397-08002B2CF9AE}" pid="3" name="KSOTemplateDocerSaveRecord">
    <vt:lpwstr>eyJoZGlkIjoiODc3OWViMzIyMTUzOGQ1OTU4Yjc3NTQ2MmMzZWY5Y2YiLCJ1c2VySWQiOiI0OTk3MDM0MTgifQ==</vt:lpwstr>
  </property>
  <property fmtid="{D5CDD505-2E9C-101B-9397-08002B2CF9AE}" pid="4" name="ICV">
    <vt:lpwstr>692223B06F9348779354EF218CCA8D65_12</vt:lpwstr>
  </property>
</Properties>
</file>